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667287">
        <w:rPr>
          <w:rFonts w:ascii="Times New Roman" w:hAnsi="Times New Roman"/>
          <w:sz w:val="28"/>
          <w:szCs w:val="28"/>
        </w:rPr>
        <w:t>2</w:t>
      </w:r>
      <w:r w:rsidR="0050468C">
        <w:rPr>
          <w:rFonts w:ascii="Times New Roman" w:hAnsi="Times New Roman"/>
          <w:sz w:val="28"/>
          <w:szCs w:val="28"/>
        </w:rPr>
        <w:t>5</w:t>
      </w:r>
      <w:r w:rsidR="000B6B7F">
        <w:rPr>
          <w:rFonts w:ascii="Times New Roman" w:hAnsi="Times New Roman"/>
          <w:sz w:val="28"/>
          <w:szCs w:val="28"/>
        </w:rPr>
        <w:t>.10.201</w:t>
      </w:r>
      <w:r w:rsidR="0050468C">
        <w:rPr>
          <w:rFonts w:ascii="Times New Roman" w:hAnsi="Times New Roman"/>
          <w:sz w:val="28"/>
          <w:szCs w:val="28"/>
        </w:rPr>
        <w:t>9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="00667287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6B7F">
        <w:rPr>
          <w:rFonts w:ascii="Times New Roman" w:hAnsi="Times New Roman"/>
          <w:sz w:val="28"/>
          <w:szCs w:val="28"/>
        </w:rPr>
        <w:t xml:space="preserve">         </w:t>
      </w:r>
      <w:r w:rsidR="00026808">
        <w:rPr>
          <w:rFonts w:ascii="Times New Roman" w:hAnsi="Times New Roman"/>
          <w:sz w:val="28"/>
          <w:szCs w:val="28"/>
        </w:rPr>
        <w:t xml:space="preserve">                          </w:t>
      </w:r>
      <w:r w:rsidR="000B6B7F">
        <w:rPr>
          <w:rFonts w:ascii="Times New Roman" w:hAnsi="Times New Roman"/>
          <w:sz w:val="28"/>
          <w:szCs w:val="28"/>
        </w:rPr>
        <w:t xml:space="preserve">№ </w:t>
      </w:r>
      <w:r w:rsidR="00667287">
        <w:rPr>
          <w:rFonts w:ascii="Times New Roman" w:hAnsi="Times New Roman"/>
          <w:sz w:val="28"/>
          <w:szCs w:val="28"/>
        </w:rPr>
        <w:t>9</w:t>
      </w:r>
      <w:r w:rsidR="005046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</w:t>
      </w: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предварительных итогах 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E046E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.10.201</w:t>
      </w:r>
      <w:r w:rsidR="005046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F67D9A">
      <w:pPr>
        <w:pStyle w:val="a8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Одобрить </w:t>
      </w: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на </w:t>
      </w:r>
      <w:r w:rsidR="00C1008A">
        <w:rPr>
          <w:rFonts w:ascii="Times New Roman" w:hAnsi="Times New Roman"/>
          <w:sz w:val="28"/>
          <w:szCs w:val="28"/>
        </w:rPr>
        <w:t>01</w:t>
      </w:r>
      <w:r w:rsidR="00F67D9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</w:t>
      </w:r>
      <w:r w:rsidR="00E57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52D8" w:rsidRDefault="00B252D8" w:rsidP="00F67D9A">
      <w:pPr>
        <w:pStyle w:val="a8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6FE2">
        <w:rPr>
          <w:rFonts w:ascii="Times New Roman" w:hAnsi="Times New Roman"/>
          <w:sz w:val="28"/>
          <w:szCs w:val="28"/>
        </w:rPr>
        <w:t xml:space="preserve">Финансово-экономическому блоку </w:t>
      </w:r>
      <w:r w:rsidR="00F67D9A">
        <w:rPr>
          <w:rFonts w:ascii="Times New Roman" w:hAnsi="Times New Roman"/>
          <w:sz w:val="28"/>
          <w:szCs w:val="28"/>
        </w:rPr>
        <w:t xml:space="preserve">АСП Нялинское </w:t>
      </w:r>
      <w:r w:rsidRPr="00BD6FE2">
        <w:rPr>
          <w:rFonts w:ascii="Times New Roman" w:hAnsi="Times New Roman"/>
          <w:sz w:val="28"/>
          <w:szCs w:val="28"/>
        </w:rPr>
        <w:t>использовать для разработки  проекта бюджета сельского поселения Нялинское на 20</w:t>
      </w:r>
      <w:r w:rsidR="00E571C6">
        <w:rPr>
          <w:rFonts w:ascii="Times New Roman" w:hAnsi="Times New Roman"/>
          <w:sz w:val="28"/>
          <w:szCs w:val="28"/>
        </w:rPr>
        <w:t>20</w:t>
      </w:r>
      <w:r w:rsidR="003C128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571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3C1282">
        <w:rPr>
          <w:rFonts w:ascii="Times New Roman" w:hAnsi="Times New Roman"/>
          <w:sz w:val="28"/>
          <w:szCs w:val="28"/>
        </w:rPr>
        <w:t>2</w:t>
      </w:r>
      <w:r w:rsidR="00E571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BD6FE2">
        <w:rPr>
          <w:rFonts w:ascii="Times New Roman" w:hAnsi="Times New Roman"/>
          <w:sz w:val="28"/>
          <w:szCs w:val="28"/>
        </w:rPr>
        <w:t xml:space="preserve"> предварительные итоги социально-экономического развития </w:t>
      </w:r>
      <w:r w:rsidR="006B6E6A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 xml:space="preserve"> на </w:t>
      </w:r>
      <w:r w:rsidR="002B39B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.10.201</w:t>
      </w:r>
      <w:r w:rsidR="00E571C6">
        <w:rPr>
          <w:rFonts w:ascii="Times New Roman" w:hAnsi="Times New Roman"/>
          <w:sz w:val="28"/>
          <w:szCs w:val="28"/>
        </w:rPr>
        <w:t>9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3871FD" w:rsidRDefault="00B252D8" w:rsidP="00F67D9A">
      <w:pPr>
        <w:pStyle w:val="a8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3871FD" w:rsidRDefault="00B252D8" w:rsidP="00F67D9A">
      <w:pPr>
        <w:pStyle w:val="a8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опубликования (обнародования).</w:t>
      </w:r>
    </w:p>
    <w:p w:rsidR="00B252D8" w:rsidRDefault="00B252D8" w:rsidP="00F67D9A">
      <w:pPr>
        <w:pStyle w:val="a8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</w:t>
      </w:r>
      <w:r w:rsidR="00E41B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67D9A" w:rsidRDefault="00F67D9A" w:rsidP="00BC54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67D9A" w:rsidRDefault="00F67D9A" w:rsidP="00BC54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C545F">
      <w:pPr>
        <w:pStyle w:val="a8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</w:t>
      </w:r>
      <w:r w:rsidR="00F67D9A">
        <w:rPr>
          <w:rFonts w:ascii="Times New Roman" w:hAnsi="Times New Roman"/>
          <w:sz w:val="28"/>
          <w:szCs w:val="28"/>
        </w:rPr>
        <w:t xml:space="preserve">                 Е.В. Мамонтова</w:t>
      </w:r>
      <w:r>
        <w:rPr>
          <w:bCs/>
          <w:sz w:val="26"/>
          <w:szCs w:val="26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8054E5">
        <w:rPr>
          <w:bCs/>
          <w:sz w:val="26"/>
          <w:szCs w:val="26"/>
        </w:rPr>
        <w:t xml:space="preserve"> </w:t>
      </w:r>
      <w:r w:rsidR="001F69F9">
        <w:rPr>
          <w:bCs/>
          <w:sz w:val="26"/>
          <w:szCs w:val="26"/>
        </w:rPr>
        <w:t>2</w:t>
      </w:r>
      <w:r w:rsidR="00E571C6">
        <w:rPr>
          <w:bCs/>
          <w:sz w:val="26"/>
          <w:szCs w:val="26"/>
        </w:rPr>
        <w:t>5</w:t>
      </w:r>
      <w:r w:rsidR="008054E5">
        <w:rPr>
          <w:bCs/>
          <w:sz w:val="26"/>
          <w:szCs w:val="26"/>
        </w:rPr>
        <w:t>.10.201</w:t>
      </w:r>
      <w:r w:rsidR="00E571C6">
        <w:rPr>
          <w:bCs/>
          <w:sz w:val="26"/>
          <w:szCs w:val="26"/>
        </w:rPr>
        <w:t>9</w:t>
      </w:r>
      <w:r w:rsidR="008054E5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№</w:t>
      </w:r>
      <w:r w:rsidR="00AA36FE">
        <w:rPr>
          <w:bCs/>
          <w:sz w:val="26"/>
          <w:szCs w:val="26"/>
        </w:rPr>
        <w:t xml:space="preserve"> </w:t>
      </w:r>
      <w:r w:rsidR="001F69F9">
        <w:rPr>
          <w:bCs/>
          <w:sz w:val="26"/>
          <w:szCs w:val="26"/>
        </w:rPr>
        <w:t>9</w:t>
      </w:r>
      <w:r w:rsidR="00E571C6">
        <w:rPr>
          <w:bCs/>
          <w:sz w:val="26"/>
          <w:szCs w:val="26"/>
        </w:rPr>
        <w:t>2</w:t>
      </w:r>
      <w:r w:rsidR="00724B37">
        <w:rPr>
          <w:bCs/>
          <w:sz w:val="26"/>
          <w:szCs w:val="26"/>
        </w:rPr>
        <w:t>-р</w:t>
      </w:r>
    </w:p>
    <w:p w:rsidR="00F67D9A" w:rsidRDefault="00F67D9A" w:rsidP="00E15D89">
      <w:pPr>
        <w:jc w:val="center"/>
      </w:pP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E15D89" w:rsidP="00E15D89">
      <w:pPr>
        <w:jc w:val="center"/>
      </w:pPr>
      <w:r w:rsidRPr="00686E2F">
        <w:t xml:space="preserve">на </w:t>
      </w:r>
      <w:r w:rsidR="002B39B9">
        <w:t>0</w:t>
      </w:r>
      <w:r w:rsidR="008054E5">
        <w:t>1 октября</w:t>
      </w:r>
      <w:r w:rsidRPr="00686E2F">
        <w:t xml:space="preserve"> 201</w:t>
      </w:r>
      <w:r w:rsidR="00E571C6">
        <w:t>9</w:t>
      </w:r>
      <w:r w:rsidRPr="00686E2F">
        <w:t xml:space="preserve"> года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1241"/>
        <w:gridCol w:w="1027"/>
        <w:gridCol w:w="1099"/>
      </w:tblGrid>
      <w:tr w:rsidR="00DE01B1" w:rsidRPr="00192F5A" w:rsidTr="00F67D9A">
        <w:trPr>
          <w:trHeight w:val="1215"/>
        </w:trPr>
        <w:tc>
          <w:tcPr>
            <w:tcW w:w="3510" w:type="dxa"/>
            <w:noWrap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993" w:type="dxa"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DE01B1" w:rsidRPr="00192F5A" w:rsidRDefault="002A5920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1" w:type="dxa"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 w:rsidR="001A3A38">
              <w:rPr>
                <w:sz w:val="22"/>
                <w:szCs w:val="22"/>
              </w:rPr>
              <w:t>8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1A3A38">
              <w:rPr>
                <w:sz w:val="22"/>
                <w:szCs w:val="22"/>
              </w:rPr>
              <w:t>7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27" w:type="dxa"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2A5920">
              <w:rPr>
                <w:sz w:val="22"/>
                <w:szCs w:val="22"/>
              </w:rPr>
              <w:t>9</w:t>
            </w:r>
            <w:r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hideMark/>
          </w:tcPr>
          <w:p w:rsidR="00DE01B1" w:rsidRPr="00192F5A" w:rsidRDefault="00DE01B1" w:rsidP="00F67D9A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 w:rsidR="001A3A38">
              <w:rPr>
                <w:sz w:val="22"/>
                <w:szCs w:val="22"/>
              </w:rPr>
              <w:t>9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1A3A38">
              <w:rPr>
                <w:sz w:val="22"/>
                <w:szCs w:val="22"/>
              </w:rPr>
              <w:t>8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DE01B1" w:rsidRPr="00192F5A" w:rsidTr="00F67D9A">
        <w:trPr>
          <w:trHeight w:val="315"/>
        </w:trPr>
        <w:tc>
          <w:tcPr>
            <w:tcW w:w="3510" w:type="dxa"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DE01B1" w:rsidRPr="00192F5A" w:rsidRDefault="00DE01B1" w:rsidP="00725B5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  <w:hideMark/>
          </w:tcPr>
          <w:p w:rsidR="00DE01B1" w:rsidRPr="00192F5A" w:rsidRDefault="00DE01B1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27" w:type="dxa"/>
            <w:noWrap/>
            <w:hideMark/>
          </w:tcPr>
          <w:p w:rsidR="00DE01B1" w:rsidRPr="00192F5A" w:rsidRDefault="00DE01B1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E01B1" w:rsidRPr="00192F5A" w:rsidRDefault="00DE01B1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DE01B1" w:rsidRPr="00192F5A" w:rsidTr="00F67D9A">
        <w:trPr>
          <w:trHeight w:val="315"/>
        </w:trPr>
        <w:tc>
          <w:tcPr>
            <w:tcW w:w="3510" w:type="dxa"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993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DE01B1" w:rsidRPr="00192F5A" w:rsidRDefault="00DE01B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E01B1" w:rsidRPr="00192F5A" w:rsidRDefault="00DE01B1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1124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1154,5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102,7%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1101,5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95,4%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-4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-4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100,0%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-1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65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6500%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12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18,5%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449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439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97,8%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462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105,2%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263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92,8%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221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90,6%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80,0%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молоко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яйцо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тыс.шт.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картофель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овощи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Финансы: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тыс</w:t>
            </w:r>
            <w:proofErr w:type="gramStart"/>
            <w:r w:rsidRPr="0055153F">
              <w:rPr>
                <w:sz w:val="22"/>
                <w:szCs w:val="22"/>
              </w:rPr>
              <w:t>.р</w:t>
            </w:r>
            <w:proofErr w:type="gramEnd"/>
            <w:r w:rsidRPr="0055153F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19413,0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19355,7</w:t>
            </w:r>
          </w:p>
        </w:tc>
        <w:tc>
          <w:tcPr>
            <w:tcW w:w="1241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99,7%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21403,5</w:t>
            </w:r>
          </w:p>
        </w:tc>
        <w:tc>
          <w:tcPr>
            <w:tcW w:w="1099" w:type="dxa"/>
            <w:noWrap/>
          </w:tcPr>
          <w:p w:rsidR="0055153F" w:rsidRPr="0055153F" w:rsidRDefault="00B07A1D" w:rsidP="00551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  <w:r w:rsidR="0055153F" w:rsidRPr="0055153F">
              <w:rPr>
                <w:sz w:val="22"/>
                <w:szCs w:val="22"/>
              </w:rPr>
              <w:t>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тыс</w:t>
            </w:r>
            <w:proofErr w:type="gramStart"/>
            <w:r w:rsidRPr="0055153F">
              <w:rPr>
                <w:sz w:val="22"/>
                <w:szCs w:val="22"/>
              </w:rPr>
              <w:t>.р</w:t>
            </w:r>
            <w:proofErr w:type="gramEnd"/>
            <w:r w:rsidRPr="0055153F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18609,2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18892,4</w:t>
            </w:r>
          </w:p>
        </w:tc>
        <w:tc>
          <w:tcPr>
            <w:tcW w:w="1241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101,5%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19662,1</w:t>
            </w:r>
          </w:p>
        </w:tc>
        <w:tc>
          <w:tcPr>
            <w:tcW w:w="1099" w:type="dxa"/>
            <w:noWrap/>
          </w:tcPr>
          <w:p w:rsidR="0055153F" w:rsidRPr="0055153F" w:rsidRDefault="00B07A1D" w:rsidP="00551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  <w:r w:rsidR="0055153F" w:rsidRPr="0055153F">
              <w:rPr>
                <w:sz w:val="22"/>
                <w:szCs w:val="22"/>
              </w:rPr>
              <w:t>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5153F" w:rsidRPr="0055153F" w:rsidRDefault="0055153F" w:rsidP="0055153F">
            <w:pPr>
              <w:rPr>
                <w:color w:val="FF0000"/>
                <w:sz w:val="22"/>
                <w:szCs w:val="22"/>
              </w:rPr>
            </w:pPr>
            <w:r w:rsidRPr="0055153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42,8%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66,67%</w:t>
            </w:r>
          </w:p>
        </w:tc>
      </w:tr>
      <w:tr w:rsidR="0055153F" w:rsidRPr="0055153F" w:rsidTr="00F67D9A">
        <w:trPr>
          <w:trHeight w:val="3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24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62,50%</w:t>
            </w:r>
          </w:p>
        </w:tc>
      </w:tr>
      <w:tr w:rsidR="0055153F" w:rsidRPr="0055153F" w:rsidTr="00F67D9A">
        <w:trPr>
          <w:trHeight w:val="615"/>
        </w:trPr>
        <w:tc>
          <w:tcPr>
            <w:tcW w:w="3510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993" w:type="dxa"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30</w:t>
            </w:r>
          </w:p>
        </w:tc>
        <w:tc>
          <w:tcPr>
            <w:tcW w:w="1241" w:type="dxa"/>
            <w:noWrap/>
            <w:hideMark/>
          </w:tcPr>
          <w:p w:rsidR="0055153F" w:rsidRPr="0055153F" w:rsidRDefault="0055153F" w:rsidP="0055153F">
            <w:pPr>
              <w:rPr>
                <w:sz w:val="22"/>
                <w:szCs w:val="22"/>
              </w:rPr>
            </w:pPr>
            <w:r w:rsidRPr="0055153F">
              <w:rPr>
                <w:sz w:val="22"/>
                <w:szCs w:val="22"/>
              </w:rPr>
              <w:t>93,7%</w:t>
            </w:r>
          </w:p>
        </w:tc>
        <w:tc>
          <w:tcPr>
            <w:tcW w:w="1027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9" w:type="dxa"/>
            <w:noWrap/>
          </w:tcPr>
          <w:p w:rsidR="0055153F" w:rsidRPr="0055153F" w:rsidRDefault="0055153F" w:rsidP="0055153F">
            <w:pPr>
              <w:rPr>
                <w:color w:val="000000"/>
                <w:sz w:val="22"/>
                <w:szCs w:val="22"/>
              </w:rPr>
            </w:pPr>
            <w:r w:rsidRPr="0055153F">
              <w:rPr>
                <w:color w:val="000000"/>
                <w:sz w:val="22"/>
                <w:szCs w:val="22"/>
              </w:rPr>
              <w:t>93,33%</w:t>
            </w:r>
          </w:p>
        </w:tc>
      </w:tr>
    </w:tbl>
    <w:p w:rsidR="008D6E4C" w:rsidRPr="00F67D9A" w:rsidRDefault="008D6E4C" w:rsidP="0055153F">
      <w:pPr>
        <w:rPr>
          <w:sz w:val="20"/>
          <w:szCs w:val="20"/>
        </w:rPr>
      </w:pPr>
      <w:r w:rsidRPr="00F67D9A">
        <w:rPr>
          <w:sz w:val="20"/>
          <w:szCs w:val="20"/>
        </w:rPr>
        <w:t xml:space="preserve">Дата составления: </w:t>
      </w:r>
      <w:r w:rsidR="00515D91" w:rsidRPr="00F67D9A">
        <w:rPr>
          <w:sz w:val="20"/>
          <w:szCs w:val="20"/>
        </w:rPr>
        <w:t>2</w:t>
      </w:r>
      <w:r w:rsidR="00DE01B1" w:rsidRPr="00F67D9A">
        <w:rPr>
          <w:sz w:val="20"/>
          <w:szCs w:val="20"/>
        </w:rPr>
        <w:t>5</w:t>
      </w:r>
      <w:r w:rsidR="008F75B6" w:rsidRPr="00F67D9A">
        <w:rPr>
          <w:sz w:val="20"/>
          <w:szCs w:val="20"/>
        </w:rPr>
        <w:t>.10</w:t>
      </w:r>
      <w:r w:rsidR="00515D91" w:rsidRPr="00F67D9A">
        <w:rPr>
          <w:sz w:val="20"/>
          <w:szCs w:val="20"/>
        </w:rPr>
        <w:t>.201</w:t>
      </w:r>
      <w:r w:rsidR="00DE01B1" w:rsidRPr="00F67D9A">
        <w:rPr>
          <w:sz w:val="20"/>
          <w:szCs w:val="20"/>
        </w:rPr>
        <w:t>9</w:t>
      </w:r>
      <w:r w:rsidRPr="00F67D9A">
        <w:rPr>
          <w:sz w:val="20"/>
          <w:szCs w:val="20"/>
        </w:rPr>
        <w:t>г.</w:t>
      </w:r>
    </w:p>
    <w:p w:rsidR="008D6E4C" w:rsidRPr="00F67D9A" w:rsidRDefault="008D6E4C" w:rsidP="008D6E4C">
      <w:pPr>
        <w:rPr>
          <w:sz w:val="20"/>
          <w:szCs w:val="20"/>
        </w:rPr>
      </w:pPr>
      <w:r w:rsidRPr="00F67D9A">
        <w:rPr>
          <w:sz w:val="20"/>
          <w:szCs w:val="20"/>
        </w:rPr>
        <w:t xml:space="preserve">Исполнитель экономист АСП Нялинское </w:t>
      </w:r>
    </w:p>
    <w:p w:rsidR="0023631B" w:rsidRDefault="008D6E4C" w:rsidP="008057B0">
      <w:pPr>
        <w:rPr>
          <w:sz w:val="22"/>
          <w:szCs w:val="22"/>
        </w:rPr>
      </w:pPr>
      <w:r w:rsidRPr="00F67D9A">
        <w:rPr>
          <w:sz w:val="20"/>
          <w:szCs w:val="20"/>
        </w:rPr>
        <w:t>Коптяева Надежда Валерьевна</w:t>
      </w:r>
      <w:r w:rsidR="00F67D9A">
        <w:rPr>
          <w:sz w:val="20"/>
          <w:szCs w:val="20"/>
        </w:rPr>
        <w:t xml:space="preserve">, тел.: </w:t>
      </w:r>
      <w:r w:rsidRPr="00F67D9A">
        <w:rPr>
          <w:sz w:val="20"/>
          <w:szCs w:val="20"/>
        </w:rPr>
        <w:t>8 (3467) 373526, 373617</w:t>
      </w:r>
      <w:r w:rsidR="0023631B">
        <w:rPr>
          <w:sz w:val="22"/>
          <w:szCs w:val="22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8351C">
        <w:rPr>
          <w:bCs/>
          <w:sz w:val="26"/>
          <w:szCs w:val="26"/>
        </w:rPr>
        <w:t>2</w:t>
      </w:r>
      <w:r w:rsidR="001043AD">
        <w:rPr>
          <w:bCs/>
          <w:sz w:val="26"/>
          <w:szCs w:val="26"/>
        </w:rPr>
        <w:t>5</w:t>
      </w:r>
      <w:r w:rsidR="00724B37">
        <w:rPr>
          <w:bCs/>
          <w:sz w:val="26"/>
          <w:szCs w:val="26"/>
        </w:rPr>
        <w:t>.10.201</w:t>
      </w:r>
      <w:r w:rsidR="001043AD">
        <w:rPr>
          <w:bCs/>
          <w:sz w:val="26"/>
          <w:szCs w:val="26"/>
        </w:rPr>
        <w:t>9</w:t>
      </w:r>
      <w:r w:rsidR="00724B37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A12B48">
        <w:rPr>
          <w:bCs/>
          <w:sz w:val="26"/>
          <w:szCs w:val="26"/>
        </w:rPr>
        <w:t xml:space="preserve"> </w:t>
      </w:r>
      <w:r w:rsidR="00B8351C">
        <w:rPr>
          <w:bCs/>
          <w:sz w:val="26"/>
          <w:szCs w:val="26"/>
        </w:rPr>
        <w:t>9</w:t>
      </w:r>
      <w:r w:rsidR="001043AD">
        <w:rPr>
          <w:bCs/>
          <w:sz w:val="26"/>
          <w:szCs w:val="26"/>
        </w:rPr>
        <w:t>2</w:t>
      </w:r>
      <w:r w:rsidR="00724B37">
        <w:rPr>
          <w:bCs/>
          <w:sz w:val="26"/>
          <w:szCs w:val="26"/>
        </w:rPr>
        <w:t>-р</w:t>
      </w:r>
    </w:p>
    <w:p w:rsidR="0023631B" w:rsidRPr="0000607C" w:rsidRDefault="0023631B" w:rsidP="0023631B">
      <w:pPr>
        <w:jc w:val="center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предварительных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сельского поселения Нялинское за</w:t>
      </w:r>
      <w:r w:rsidR="00C23578">
        <w:rPr>
          <w:b/>
          <w:bCs/>
        </w:rPr>
        <w:t xml:space="preserve"> истекший период 201</w:t>
      </w:r>
      <w:r w:rsidR="001043AD">
        <w:rPr>
          <w:b/>
          <w:bCs/>
        </w:rPr>
        <w:t>9</w:t>
      </w:r>
      <w:r w:rsidRPr="0000607C">
        <w:rPr>
          <w:b/>
          <w:bCs/>
        </w:rPr>
        <w:t xml:space="preserve"> года</w:t>
      </w:r>
    </w:p>
    <w:p w:rsidR="0023631B" w:rsidRPr="0000607C" w:rsidRDefault="0023631B" w:rsidP="0023631B">
      <w:pPr>
        <w:jc w:val="center"/>
      </w:pPr>
    </w:p>
    <w:p w:rsidR="0023631B" w:rsidRPr="0000607C" w:rsidRDefault="0023631B" w:rsidP="0023631B">
      <w:pPr>
        <w:ind w:firstLine="855"/>
        <w:jc w:val="both"/>
      </w:pPr>
      <w:r w:rsidRPr="0000607C">
        <w:t>Предварительные итоги социально-экономического развития сельс</w:t>
      </w:r>
      <w:r w:rsidR="00C23578">
        <w:t>кого поселения Нялинское за 201</w:t>
      </w:r>
      <w:r w:rsidR="00401685">
        <w:t>9</w:t>
      </w:r>
      <w:r w:rsidRPr="0000607C">
        <w:t xml:space="preserve"> год можно охарактеризовать следующими основными изменениями</w:t>
      </w:r>
      <w:r w:rsidR="00C23578">
        <w:t xml:space="preserve">, зафиксированными на </w:t>
      </w:r>
      <w:r w:rsidR="00551564">
        <w:t>01</w:t>
      </w:r>
      <w:r w:rsidR="00724B37">
        <w:t>.10</w:t>
      </w:r>
      <w:r w:rsidR="00C23578">
        <w:t>.201</w:t>
      </w:r>
      <w:r w:rsidR="00401685">
        <w:t>9</w:t>
      </w:r>
      <w:r w:rsidRPr="0000607C">
        <w:t xml:space="preserve">г.: 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Pr="00953381">
        <w:t xml:space="preserve"> за истекший период 201</w:t>
      </w:r>
      <w:r w:rsidR="00401685">
        <w:t>9</w:t>
      </w:r>
      <w:r w:rsidRPr="00953381">
        <w:t xml:space="preserve"> года составило </w:t>
      </w:r>
      <w:r w:rsidR="00401685">
        <w:rPr>
          <w:b/>
        </w:rPr>
        <w:t>4</w:t>
      </w:r>
      <w:r w:rsidR="00E36DFD">
        <w:t xml:space="preserve"> младенц</w:t>
      </w:r>
      <w:r w:rsidR="00401685">
        <w:t>а</w:t>
      </w:r>
      <w:r w:rsidRPr="00953381">
        <w:t xml:space="preserve">, что на </w:t>
      </w:r>
      <w:r w:rsidR="00E36DFD">
        <w:t>1</w:t>
      </w:r>
      <w:r w:rsidRPr="00953381">
        <w:t xml:space="preserve"> малыша </w:t>
      </w:r>
      <w:r w:rsidR="00401685">
        <w:t>мен</w:t>
      </w:r>
      <w:r w:rsidR="00E36DFD">
        <w:t>ьше</w:t>
      </w:r>
      <w:r w:rsidRPr="00953381">
        <w:t xml:space="preserve"> чем в 201</w:t>
      </w:r>
      <w:r w:rsidR="00401685">
        <w:t>8</w:t>
      </w:r>
      <w:r w:rsidRPr="00953381">
        <w:t xml:space="preserve"> году.</w:t>
      </w:r>
    </w:p>
    <w:p w:rsidR="0023631B" w:rsidRPr="00472B66" w:rsidRDefault="0023631B" w:rsidP="0023631B">
      <w:pPr>
        <w:ind w:firstLine="855"/>
        <w:jc w:val="both"/>
      </w:pPr>
      <w:r w:rsidRPr="00472B66">
        <w:rPr>
          <w:b/>
          <w:bCs/>
        </w:rPr>
        <w:t>Количество смертей</w:t>
      </w:r>
      <w:r w:rsidRPr="00472B66">
        <w:t xml:space="preserve"> за истекший период 201</w:t>
      </w:r>
      <w:r w:rsidR="007177A8">
        <w:t>9</w:t>
      </w:r>
      <w:r w:rsidRPr="00472B66">
        <w:t xml:space="preserve"> года составило </w:t>
      </w:r>
      <w:r w:rsidR="007177A8">
        <w:rPr>
          <w:b/>
          <w:bCs/>
        </w:rPr>
        <w:t>8</w:t>
      </w:r>
      <w:r w:rsidRPr="00472B66">
        <w:t xml:space="preserve"> случа</w:t>
      </w:r>
      <w:r w:rsidR="00472B66" w:rsidRPr="00472B66">
        <w:t>ев</w:t>
      </w:r>
      <w:r w:rsidRPr="00472B66">
        <w:t xml:space="preserve">, что </w:t>
      </w:r>
      <w:r w:rsidR="007177A8">
        <w:t>мен</w:t>
      </w:r>
      <w:r w:rsidR="00472B66" w:rsidRPr="00472B66">
        <w:t>ьше</w:t>
      </w:r>
      <w:r w:rsidRPr="00472B66">
        <w:t xml:space="preserve"> показателя 201</w:t>
      </w:r>
      <w:r w:rsidR="007177A8">
        <w:t>8</w:t>
      </w:r>
      <w:r w:rsidRPr="00472B66">
        <w:t xml:space="preserve"> года на </w:t>
      </w:r>
      <w:r w:rsidR="007177A8">
        <w:t>1</w:t>
      </w:r>
      <w:r w:rsidRPr="00472B66">
        <w:t xml:space="preserve"> случа</w:t>
      </w:r>
      <w:r w:rsidR="007177A8">
        <w:t>й</w:t>
      </w:r>
      <w:r w:rsidRPr="00472B66">
        <w:t>.</w:t>
      </w:r>
    </w:p>
    <w:p w:rsidR="0023631B" w:rsidRPr="00472B66" w:rsidRDefault="0023631B" w:rsidP="0023631B">
      <w:pPr>
        <w:ind w:firstLine="855"/>
        <w:jc w:val="both"/>
      </w:pPr>
      <w:r w:rsidRPr="00472B66">
        <w:t>В результате по предварительным итогам текущего года имеем</w:t>
      </w:r>
      <w:r w:rsidR="00C23578" w:rsidRPr="00472B66">
        <w:t xml:space="preserve"> </w:t>
      </w:r>
      <w:r w:rsidR="00472B66" w:rsidRPr="00472B66">
        <w:rPr>
          <w:b/>
          <w:bCs/>
        </w:rPr>
        <w:t>отрицательный</w:t>
      </w:r>
      <w:r w:rsidRPr="00472B66">
        <w:rPr>
          <w:b/>
          <w:bCs/>
        </w:rPr>
        <w:t xml:space="preserve"> естественный прирост</w:t>
      </w:r>
      <w:r w:rsidR="00472B66" w:rsidRPr="00472B66">
        <w:rPr>
          <w:b/>
          <w:bCs/>
        </w:rPr>
        <w:t xml:space="preserve"> -4 человека</w:t>
      </w:r>
      <w:r w:rsidR="007177A8">
        <w:rPr>
          <w:b/>
          <w:bCs/>
        </w:rPr>
        <w:t>, аналогичный прошлому году</w:t>
      </w:r>
      <w:r w:rsidR="00472B66" w:rsidRPr="00472B66">
        <w:rPr>
          <w:b/>
          <w:bCs/>
        </w:rPr>
        <w:t>.</w:t>
      </w:r>
    </w:p>
    <w:p w:rsidR="0023631B" w:rsidRPr="00414327" w:rsidRDefault="0023631B" w:rsidP="0023631B">
      <w:pPr>
        <w:ind w:firstLine="855"/>
        <w:jc w:val="both"/>
      </w:pPr>
      <w:r w:rsidRPr="00414327">
        <w:rPr>
          <w:b/>
          <w:bCs/>
        </w:rPr>
        <w:t>Миграционный прирост</w:t>
      </w:r>
      <w:r w:rsidRPr="00414327">
        <w:t xml:space="preserve"> в разрезе постоянно проживающего населения без учета студентов и занятых вне территории сельского поселения за истекший период 201</w:t>
      </w:r>
      <w:r w:rsidR="00D72302" w:rsidRPr="00414327">
        <w:t>8</w:t>
      </w:r>
      <w:r w:rsidRPr="00414327">
        <w:t xml:space="preserve"> года</w:t>
      </w:r>
      <w:r w:rsidR="00EA4852" w:rsidRPr="00414327">
        <w:t xml:space="preserve"> </w:t>
      </w:r>
      <w:r w:rsidR="00D72302" w:rsidRPr="00414327">
        <w:rPr>
          <w:b/>
        </w:rPr>
        <w:t>положительный</w:t>
      </w:r>
      <w:r w:rsidR="00414327" w:rsidRPr="00414327">
        <w:rPr>
          <w:b/>
        </w:rPr>
        <w:t xml:space="preserve">, прирост составил </w:t>
      </w:r>
      <w:r w:rsidR="00F95EFD">
        <w:rPr>
          <w:b/>
        </w:rPr>
        <w:t>12</w:t>
      </w:r>
      <w:r w:rsidR="00414327" w:rsidRPr="00414327">
        <w:rPr>
          <w:b/>
        </w:rPr>
        <w:t xml:space="preserve"> человек</w:t>
      </w:r>
      <w:r w:rsidRPr="00414327">
        <w:t xml:space="preserve"> (прибыло – </w:t>
      </w:r>
      <w:r w:rsidR="00F95EFD">
        <w:t>62</w:t>
      </w:r>
      <w:r w:rsidRPr="00414327">
        <w:t xml:space="preserve">, убыло – </w:t>
      </w:r>
      <w:r w:rsidR="00F95EFD">
        <w:t>50</w:t>
      </w:r>
      <w:r w:rsidRPr="00414327">
        <w:t xml:space="preserve"> человек). </w:t>
      </w:r>
      <w:r w:rsidR="00D72302" w:rsidRPr="00414327">
        <w:t>В 201</w:t>
      </w:r>
      <w:r w:rsidR="009B655B">
        <w:t>8</w:t>
      </w:r>
      <w:r w:rsidR="00D72302" w:rsidRPr="00414327">
        <w:t xml:space="preserve"> году за аналогичный период </w:t>
      </w:r>
      <w:r w:rsidR="009B655B">
        <w:t>миграционный прирост населения составил 65 человек</w:t>
      </w:r>
      <w:r w:rsidR="00D72302" w:rsidRPr="00414327">
        <w:t xml:space="preserve">. </w:t>
      </w:r>
      <w:r w:rsidR="00093CAB">
        <w:t>Положительная миграционная динамика последних лет обусловлена более полным миграционным учетом временно пребывающего населения (работники</w:t>
      </w:r>
      <w:r w:rsidR="00AA035E">
        <w:t xml:space="preserve"> с семьями</w:t>
      </w:r>
      <w:r w:rsidR="00093CAB">
        <w:t xml:space="preserve"> и учащиеся Кадетской школы)</w:t>
      </w:r>
      <w:r w:rsidR="00123BEC" w:rsidRPr="00414327">
        <w:t>.</w:t>
      </w:r>
    </w:p>
    <w:p w:rsidR="0023631B" w:rsidRPr="00C04FC7" w:rsidRDefault="0023631B" w:rsidP="0023631B">
      <w:pPr>
        <w:ind w:firstLine="855"/>
        <w:jc w:val="both"/>
        <w:rPr>
          <w:b/>
        </w:rPr>
      </w:pPr>
      <w:r w:rsidRPr="00C04FC7">
        <w:rPr>
          <w:b/>
          <w:bCs/>
        </w:rPr>
        <w:t xml:space="preserve">Численность постоянного </w:t>
      </w:r>
      <w:r w:rsidR="006A2D16" w:rsidRPr="00C04FC7">
        <w:rPr>
          <w:b/>
          <w:bCs/>
        </w:rPr>
        <w:t>проживающего</w:t>
      </w:r>
      <w:r w:rsidRPr="00C04FC7">
        <w:rPr>
          <w:b/>
          <w:bCs/>
        </w:rPr>
        <w:t xml:space="preserve"> населения</w:t>
      </w:r>
      <w:r w:rsidRPr="00C04FC7">
        <w:rPr>
          <w:b/>
        </w:rPr>
        <w:t xml:space="preserve"> (среднегодовая</w:t>
      </w:r>
      <w:r w:rsidR="00ED503D">
        <w:rPr>
          <w:b/>
        </w:rPr>
        <w:t>, фактическая</w:t>
      </w:r>
      <w:r w:rsidRPr="00C04FC7">
        <w:rPr>
          <w:b/>
        </w:rPr>
        <w:t>)</w:t>
      </w:r>
      <w:r w:rsidRPr="00C04FC7">
        <w:t xml:space="preserve"> по предварительным итогам 201</w:t>
      </w:r>
      <w:r w:rsidR="00AE683E">
        <w:t>9</w:t>
      </w:r>
      <w:r w:rsidR="00C04FC7" w:rsidRPr="00C04FC7">
        <w:t xml:space="preserve"> </w:t>
      </w:r>
      <w:r w:rsidRPr="00C04FC7">
        <w:t>года</w:t>
      </w:r>
      <w:r w:rsidR="00ED503D">
        <w:t xml:space="preserve"> с учетом лиц, пребывающих на территории поселения, но не зарегистрированных</w:t>
      </w:r>
      <w:r w:rsidR="00107443">
        <w:t xml:space="preserve"> по месту пребывания</w:t>
      </w:r>
      <w:r w:rsidR="001136CE">
        <w:t>,</w:t>
      </w:r>
      <w:r w:rsidRPr="00C04FC7">
        <w:t xml:space="preserve"> составляет </w:t>
      </w:r>
      <w:r w:rsidR="00AE603A">
        <w:rPr>
          <w:b/>
        </w:rPr>
        <w:t>1101,5</w:t>
      </w:r>
      <w:r w:rsidRPr="00C04FC7">
        <w:t xml:space="preserve"> человек. На </w:t>
      </w:r>
      <w:r w:rsidR="00551564" w:rsidRPr="00C04FC7">
        <w:t>0</w:t>
      </w:r>
      <w:r w:rsidR="00724B37" w:rsidRPr="00C04FC7">
        <w:t>1.10</w:t>
      </w:r>
      <w:r w:rsidRPr="00C04FC7">
        <w:t>.201</w:t>
      </w:r>
      <w:r w:rsidR="00AE603A">
        <w:t>9</w:t>
      </w:r>
      <w:r w:rsidRPr="00C04FC7">
        <w:t xml:space="preserve">г. численность </w:t>
      </w:r>
      <w:r w:rsidR="006A2D16" w:rsidRPr="00C04FC7">
        <w:t>проживающего</w:t>
      </w:r>
      <w:r w:rsidRPr="00C04FC7">
        <w:t xml:space="preserve"> населения составила </w:t>
      </w:r>
      <w:r w:rsidR="006E0416" w:rsidRPr="00C04FC7">
        <w:t>1</w:t>
      </w:r>
      <w:r w:rsidR="00AE603A">
        <w:t>044</w:t>
      </w:r>
      <w:r w:rsidRPr="00C04FC7">
        <w:t xml:space="preserve"> человек.</w:t>
      </w:r>
      <w:r w:rsidR="006E0416" w:rsidRPr="00C04FC7">
        <w:t xml:space="preserve"> Сюда </w:t>
      </w:r>
      <w:proofErr w:type="gramStart"/>
      <w:r w:rsidR="006E0416" w:rsidRPr="00C04FC7">
        <w:t>включены</w:t>
      </w:r>
      <w:proofErr w:type="gramEnd"/>
      <w:r w:rsidR="006E0416" w:rsidRPr="00C04FC7">
        <w:t xml:space="preserve"> в том числе </w:t>
      </w:r>
      <w:r w:rsidR="00E840DE" w:rsidRPr="00C04FC7">
        <w:t xml:space="preserve">семьи </w:t>
      </w:r>
      <w:r w:rsidR="006E0416" w:rsidRPr="00C04FC7">
        <w:t>работник</w:t>
      </w:r>
      <w:r w:rsidR="00E840DE" w:rsidRPr="00C04FC7">
        <w:t>ов</w:t>
      </w:r>
      <w:r w:rsidR="006E0416" w:rsidRPr="00C04FC7">
        <w:t xml:space="preserve"> Кадетской школы </w:t>
      </w:r>
      <w:r w:rsidR="007107B4" w:rsidRPr="00C04FC7">
        <w:t>и учащиеся</w:t>
      </w:r>
      <w:r w:rsidR="006E0416" w:rsidRPr="00C04FC7">
        <w:t>.</w:t>
      </w:r>
      <w:r w:rsidR="003015E5">
        <w:t xml:space="preserve"> Снижение средн</w:t>
      </w:r>
      <w:r w:rsidR="000A5A6A">
        <w:t>егодовой численности связано со снижением числа учащихся Кадетской школы (113 человек на 01.10.2019г.).</w:t>
      </w:r>
      <w:r w:rsidR="00570071">
        <w:t xml:space="preserve"> По косвенной оценке АСП Нялинское без регистрации по месту пребывания на территории </w:t>
      </w:r>
      <w:r w:rsidR="00485C4C">
        <w:t xml:space="preserve">сельского поселения проживает </w:t>
      </w:r>
      <w:r w:rsidR="004C240C">
        <w:t>98 человек.</w:t>
      </w:r>
    </w:p>
    <w:p w:rsidR="0023631B" w:rsidRPr="006A6AAA" w:rsidRDefault="0023631B" w:rsidP="0023631B">
      <w:pPr>
        <w:ind w:firstLine="855"/>
        <w:jc w:val="both"/>
      </w:pPr>
      <w:r w:rsidRPr="00672F70">
        <w:rPr>
          <w:b/>
        </w:rPr>
        <w:t>Ч</w:t>
      </w:r>
      <w:r w:rsidRPr="00672F70">
        <w:rPr>
          <w:b/>
          <w:bCs/>
        </w:rPr>
        <w:t>исленность экономически активного населения</w:t>
      </w:r>
      <w:r w:rsidRPr="00672F70">
        <w:t xml:space="preserve"> </w:t>
      </w:r>
      <w:r w:rsidR="00873910">
        <w:t>увеличилась</w:t>
      </w:r>
      <w:r w:rsidR="00672F70" w:rsidRPr="00672F70">
        <w:t xml:space="preserve"> на </w:t>
      </w:r>
      <w:r w:rsidR="00873910">
        <w:t>5,2</w:t>
      </w:r>
      <w:r w:rsidR="00672F70" w:rsidRPr="00672F70">
        <w:t>%</w:t>
      </w:r>
      <w:r w:rsidRPr="00672F70">
        <w:t xml:space="preserve"> по сравнению с показателем за 201</w:t>
      </w:r>
      <w:r w:rsidR="00873910">
        <w:t>8</w:t>
      </w:r>
      <w:r w:rsidRPr="00672F70">
        <w:t xml:space="preserve"> год</w:t>
      </w:r>
      <w:r w:rsidR="00607B2E">
        <w:t xml:space="preserve"> и</w:t>
      </w:r>
      <w:r w:rsidRPr="00672F70">
        <w:t xml:space="preserve"> составила </w:t>
      </w:r>
      <w:r w:rsidR="00CF61A1" w:rsidRPr="00672F70">
        <w:rPr>
          <w:b/>
        </w:rPr>
        <w:t>4</w:t>
      </w:r>
      <w:r w:rsidR="00873910">
        <w:rPr>
          <w:b/>
        </w:rPr>
        <w:t>62</w:t>
      </w:r>
      <w:r w:rsidRPr="00672F70">
        <w:t xml:space="preserve"> человек. При этом общая численность занятых в экономике се</w:t>
      </w:r>
      <w:r w:rsidR="00FC5504" w:rsidRPr="00672F70">
        <w:t xml:space="preserve">льского поселения составляет </w:t>
      </w:r>
      <w:r w:rsidR="000B6070" w:rsidRPr="00672F70">
        <w:t>2</w:t>
      </w:r>
      <w:r w:rsidR="00E306C5">
        <w:t>21</w:t>
      </w:r>
      <w:r w:rsidRPr="00672F70">
        <w:t xml:space="preserve"> человек</w:t>
      </w:r>
      <w:r w:rsidR="00E306C5">
        <w:t>, что на 9,4% ниже показателя 2018 года.</w:t>
      </w:r>
      <w:r w:rsidR="00E64BF1">
        <w:t xml:space="preserve"> Рост экономически активного населения произошел за счет занятых «в городе» (вне сельского поселения)</w:t>
      </w:r>
      <w:r w:rsidRPr="00672F70">
        <w:t>, зарегистрированных на территори</w:t>
      </w:r>
      <w:r w:rsidR="00E864A8">
        <w:t xml:space="preserve">и сельского поселения, численность которых на 01.10.2019г. составила 218 человек </w:t>
      </w:r>
      <w:r w:rsidRPr="00672F70">
        <w:t xml:space="preserve">(на </w:t>
      </w:r>
      <w:r w:rsidR="00672F70" w:rsidRPr="00672F70">
        <w:t>01</w:t>
      </w:r>
      <w:r w:rsidR="00671BD3" w:rsidRPr="00672F70">
        <w:t>.10</w:t>
      </w:r>
      <w:r w:rsidRPr="00672F70">
        <w:t>.201</w:t>
      </w:r>
      <w:r w:rsidR="00E64BF1">
        <w:t>8г. – 195</w:t>
      </w:r>
      <w:r w:rsidRPr="00672F70">
        <w:t xml:space="preserve"> человек</w:t>
      </w:r>
      <w:r w:rsidRPr="006A6AAA">
        <w:t xml:space="preserve">). </w:t>
      </w:r>
      <w:r w:rsidR="006E5494" w:rsidRPr="006A6AAA">
        <w:t>При этом</w:t>
      </w:r>
      <w:proofErr w:type="gramStart"/>
      <w:r w:rsidR="006E5494" w:rsidRPr="006A6AAA">
        <w:t>,</w:t>
      </w:r>
      <w:proofErr w:type="gramEnd"/>
      <w:r w:rsidR="006E5494" w:rsidRPr="006A6AAA">
        <w:t xml:space="preserve"> по итогам 201</w:t>
      </w:r>
      <w:r w:rsidR="00A53ECF">
        <w:t>8</w:t>
      </w:r>
      <w:r w:rsidR="006E5494" w:rsidRPr="006A6AAA">
        <w:t xml:space="preserve"> года численность </w:t>
      </w:r>
      <w:r w:rsidR="00672F70" w:rsidRPr="006A6AAA">
        <w:t xml:space="preserve">населения трудоспособного возраста </w:t>
      </w:r>
      <w:r w:rsidR="006E5494" w:rsidRPr="006A6AAA">
        <w:t xml:space="preserve">составляла </w:t>
      </w:r>
      <w:r w:rsidR="00E947C4">
        <w:t>601</w:t>
      </w:r>
      <w:r w:rsidR="006E5494" w:rsidRPr="006A6AAA">
        <w:t xml:space="preserve"> человек (по итогам 201</w:t>
      </w:r>
      <w:r w:rsidR="00060FC7">
        <w:t>7</w:t>
      </w:r>
      <w:r w:rsidR="006E5494" w:rsidRPr="006A6AAA">
        <w:t xml:space="preserve"> года – </w:t>
      </w:r>
      <w:r w:rsidR="00672F70" w:rsidRPr="006A6AAA">
        <w:t>5</w:t>
      </w:r>
      <w:r w:rsidR="00060FC7">
        <w:t>53</w:t>
      </w:r>
      <w:r w:rsidR="00672F70" w:rsidRPr="006A6AAA">
        <w:t xml:space="preserve"> человека</w:t>
      </w:r>
      <w:r w:rsidR="00FE5ACA">
        <w:t xml:space="preserve">, </w:t>
      </w:r>
      <w:r w:rsidR="00FE5ACA" w:rsidRPr="00CD0526">
        <w:t xml:space="preserve">т.о. </w:t>
      </w:r>
      <w:r w:rsidR="00CD0526" w:rsidRPr="00CD0526">
        <w:t>рост</w:t>
      </w:r>
      <w:r w:rsidR="00FE5ACA" w:rsidRPr="00CD0526">
        <w:t xml:space="preserve"> численности трудоспособного населения составил </w:t>
      </w:r>
      <w:r w:rsidR="00CD0526" w:rsidRPr="00CD0526">
        <w:t>8,7</w:t>
      </w:r>
      <w:r w:rsidR="00FE5ACA" w:rsidRPr="00CD0526">
        <w:t>%</w:t>
      </w:r>
      <w:r w:rsidR="006E5494" w:rsidRPr="00CD0526">
        <w:t>)</w:t>
      </w:r>
      <w:r w:rsidR="00672F70" w:rsidRPr="00CD0526">
        <w:t>.</w:t>
      </w:r>
      <w:r w:rsidR="002164CB" w:rsidRPr="00CD0526">
        <w:t xml:space="preserve"> </w:t>
      </w:r>
      <w:proofErr w:type="gramStart"/>
      <w:r w:rsidR="001941DD" w:rsidRPr="00CD0526">
        <w:t>Зная, что за</w:t>
      </w:r>
      <w:r w:rsidR="001941DD">
        <w:t xml:space="preserve"> прошедший год в учреждениях, </w:t>
      </w:r>
      <w:r w:rsidR="006C6DF1">
        <w:t xml:space="preserve">ведущих деятельность на территории населенных пунктов СП Нялинское, </w:t>
      </w:r>
      <w:r w:rsidR="00CD0526">
        <w:t xml:space="preserve">не </w:t>
      </w:r>
      <w:r w:rsidR="006C6DF1">
        <w:t>было сокращен</w:t>
      </w:r>
      <w:r w:rsidR="00CD0526">
        <w:t>ий</w:t>
      </w:r>
      <w:r w:rsidR="006C6DF1">
        <w:t xml:space="preserve"> работник</w:t>
      </w:r>
      <w:r w:rsidR="00CD0526">
        <w:t>ов</w:t>
      </w:r>
      <w:r w:rsidR="00585814">
        <w:t xml:space="preserve">, </w:t>
      </w:r>
      <w:r w:rsidR="006C6DF1">
        <w:t xml:space="preserve">среднесписочная численность работников сократилась на </w:t>
      </w:r>
      <w:r w:rsidR="00F063A4">
        <w:t>23</w:t>
      </w:r>
      <w:r w:rsidR="006C6DF1">
        <w:t xml:space="preserve"> человек</w:t>
      </w:r>
      <w:r w:rsidR="00F063A4">
        <w:t>а</w:t>
      </w:r>
      <w:r w:rsidR="006C6DF1">
        <w:t xml:space="preserve">, </w:t>
      </w:r>
      <w:r w:rsidR="00585814">
        <w:t>а также имеется рост численности занятых вне сельского поселения</w:t>
      </w:r>
      <w:r w:rsidR="00C30AD5">
        <w:t xml:space="preserve">, то можно сделать вывод, что </w:t>
      </w:r>
      <w:r w:rsidR="00DC5A22">
        <w:t>в учреждениях имеется кадровый дефицит</w:t>
      </w:r>
      <w:r w:rsidR="00887BC2">
        <w:t xml:space="preserve">, который </w:t>
      </w:r>
      <w:r w:rsidR="00390789">
        <w:t>является предпосылкой трудовой миграции э</w:t>
      </w:r>
      <w:r w:rsidR="00A610B0">
        <w:t>кономически активного населения на территорию сельского поселения Нялинское</w:t>
      </w:r>
      <w:r w:rsidR="005C526D">
        <w:t>.</w:t>
      </w:r>
      <w:proofErr w:type="gramEnd"/>
      <w:r w:rsidR="00C11EA2">
        <w:t xml:space="preserve"> А</w:t>
      </w:r>
      <w:r w:rsidR="003F36B6">
        <w:t>налогичная ситуация с занятостью на территории сельского поселения наблюдалась и в прошлом году</w:t>
      </w:r>
      <w:r w:rsidR="000248DC">
        <w:t xml:space="preserve">. </w:t>
      </w:r>
      <w:r w:rsidR="000B2589">
        <w:t xml:space="preserve">Т.о. можно сделать вывод, что часть работников занято в учреждениях и организациях </w:t>
      </w:r>
      <w:proofErr w:type="gramStart"/>
      <w:r w:rsidR="000B2589">
        <w:t>сельского</w:t>
      </w:r>
      <w:proofErr w:type="gramEnd"/>
      <w:r w:rsidR="000B2589">
        <w:t xml:space="preserve"> поселении по совместительству и совмещению.</w:t>
      </w:r>
    </w:p>
    <w:p w:rsidR="0023631B" w:rsidRPr="000B12F2" w:rsidRDefault="0023631B" w:rsidP="0023631B">
      <w:pPr>
        <w:ind w:firstLine="855"/>
        <w:jc w:val="both"/>
      </w:pPr>
      <w:r w:rsidRPr="000B12F2">
        <w:rPr>
          <w:b/>
          <w:bCs/>
        </w:rPr>
        <w:lastRenderedPageBreak/>
        <w:t>Среднесписочная численность работающих</w:t>
      </w:r>
      <w:r w:rsidRPr="000B12F2"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64141A">
        <w:rPr>
          <w:b/>
        </w:rPr>
        <w:t>221</w:t>
      </w:r>
      <w:r w:rsidRPr="000B12F2">
        <w:t xml:space="preserve"> человек</w:t>
      </w:r>
      <w:r w:rsidR="00CF61A1" w:rsidRPr="000B12F2">
        <w:t xml:space="preserve"> </w:t>
      </w:r>
      <w:r w:rsidRPr="000B12F2">
        <w:t>без</w:t>
      </w:r>
      <w:r w:rsidR="0064141A">
        <w:t xml:space="preserve"> учета</w:t>
      </w:r>
      <w:r w:rsidRPr="000B12F2">
        <w:t xml:space="preserve"> внешних совместителей, что </w:t>
      </w:r>
      <w:r w:rsidR="0011055E" w:rsidRPr="000B12F2">
        <w:t>ниже</w:t>
      </w:r>
      <w:r w:rsidRPr="000B12F2">
        <w:t xml:space="preserve"> показателя предыдущего года на </w:t>
      </w:r>
      <w:r w:rsidR="0064141A">
        <w:t>8,4</w:t>
      </w:r>
      <w:r w:rsidRPr="000B12F2">
        <w:t xml:space="preserve">%. </w:t>
      </w:r>
    </w:p>
    <w:p w:rsidR="0023631B" w:rsidRPr="005B6570" w:rsidRDefault="0023631B" w:rsidP="0023631B">
      <w:pPr>
        <w:ind w:firstLine="855"/>
        <w:jc w:val="both"/>
      </w:pPr>
      <w:r w:rsidRPr="00AF39B5">
        <w:rPr>
          <w:b/>
          <w:bCs/>
        </w:rPr>
        <w:t>Численность официально зарегистрированных безработных</w:t>
      </w:r>
      <w:r w:rsidRPr="00AF39B5">
        <w:t xml:space="preserve"> на </w:t>
      </w:r>
      <w:r w:rsidR="004E3D49" w:rsidRPr="00AF39B5">
        <w:t>01</w:t>
      </w:r>
      <w:r w:rsidR="00724B37" w:rsidRPr="00AF39B5">
        <w:t>.10</w:t>
      </w:r>
      <w:r w:rsidRPr="00AF39B5">
        <w:t>.201</w:t>
      </w:r>
      <w:r w:rsidR="00A0209F">
        <w:t>9</w:t>
      </w:r>
      <w:r w:rsidRPr="00AF39B5">
        <w:t xml:space="preserve">г. года составляет </w:t>
      </w:r>
      <w:r w:rsidR="00A0209F">
        <w:t>4</w:t>
      </w:r>
      <w:r w:rsidRPr="00AF39B5">
        <w:t xml:space="preserve"> человек</w:t>
      </w:r>
      <w:r w:rsidR="00A0209F">
        <w:t>а</w:t>
      </w:r>
      <w:r w:rsidRPr="00AF39B5">
        <w:t xml:space="preserve"> (на </w:t>
      </w:r>
      <w:r w:rsidR="00AF39B5" w:rsidRPr="00AF39B5">
        <w:t>01</w:t>
      </w:r>
      <w:r w:rsidRPr="00AF39B5">
        <w:t>.</w:t>
      </w:r>
      <w:r w:rsidR="007E5ACB" w:rsidRPr="00AF39B5">
        <w:t>10</w:t>
      </w:r>
      <w:r w:rsidRPr="00AF39B5">
        <w:t>.201</w:t>
      </w:r>
      <w:r w:rsidR="00A0209F">
        <w:t>8</w:t>
      </w:r>
      <w:r w:rsidRPr="00AF39B5">
        <w:t xml:space="preserve">г. на учете в Центре занятости населения состояло </w:t>
      </w:r>
      <w:r w:rsidR="00AF39B5" w:rsidRPr="00AF39B5">
        <w:t>5</w:t>
      </w:r>
      <w:r w:rsidRPr="00AF39B5">
        <w:t xml:space="preserve"> человек).</w:t>
      </w:r>
      <w:r w:rsidR="00523F78">
        <w:t xml:space="preserve"> Как </w:t>
      </w:r>
      <w:proofErr w:type="gramStart"/>
      <w:r w:rsidR="00523F78">
        <w:t>видим показатель численности официально зарегистрирова</w:t>
      </w:r>
      <w:r w:rsidR="00A8498C">
        <w:t>нных безработных за год</w:t>
      </w:r>
      <w:r w:rsidR="00A0209F">
        <w:t xml:space="preserve"> в процентном отношении снизился</w:t>
      </w:r>
      <w:proofErr w:type="gramEnd"/>
      <w:r w:rsidR="00A0209F">
        <w:t xml:space="preserve"> значительно (на 20%), хотя в абсолютном исчислении снизился всего на 1 человека.</w:t>
      </w:r>
      <w:r w:rsidRPr="00CC7285">
        <w:rPr>
          <w:color w:val="7030A0"/>
        </w:rPr>
        <w:t xml:space="preserve"> </w:t>
      </w:r>
      <w:r w:rsidRPr="005B6570">
        <w:t>За истекший период 201</w:t>
      </w:r>
      <w:r w:rsidR="00C75CF0">
        <w:t>9</w:t>
      </w:r>
      <w:r w:rsidRPr="005B6570">
        <w:t xml:space="preserve"> года на временные работы (программы ЦЗ)</w:t>
      </w:r>
      <w:r w:rsidR="009246B7" w:rsidRPr="005B6570">
        <w:t xml:space="preserve"> через МАУ ХМР ОМЦ</w:t>
      </w:r>
      <w:r w:rsidRPr="005B6570">
        <w:t xml:space="preserve"> </w:t>
      </w:r>
      <w:r w:rsidR="00C75CF0">
        <w:t>не был привлечен ни один человек.</w:t>
      </w:r>
    </w:p>
    <w:p w:rsidR="0023631B" w:rsidRPr="00590ED3" w:rsidRDefault="0023631B" w:rsidP="0023631B">
      <w:pPr>
        <w:ind w:firstLine="855"/>
        <w:jc w:val="both"/>
      </w:pPr>
      <w:r w:rsidRPr="00590ED3">
        <w:rPr>
          <w:b/>
          <w:bCs/>
        </w:rPr>
        <w:t>Производство сельскохозяйственной продукции</w:t>
      </w:r>
      <w:r w:rsidRPr="00590ED3"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23631B" w:rsidRPr="00785BB4" w:rsidRDefault="0023631B" w:rsidP="0023631B">
      <w:pPr>
        <w:ind w:firstLine="855"/>
        <w:jc w:val="both"/>
      </w:pPr>
      <w:r w:rsidRPr="00697456">
        <w:rPr>
          <w:b/>
          <w:bCs/>
        </w:rPr>
        <w:t>Предварительные доходы бюджета МО</w:t>
      </w:r>
      <w:r w:rsidRPr="00697456">
        <w:t xml:space="preserve"> (налоговые и неналоговые доходы) за истекший период 201</w:t>
      </w:r>
      <w:r w:rsidR="00F4260E">
        <w:t>9</w:t>
      </w:r>
      <w:r w:rsidRPr="00697456">
        <w:t xml:space="preserve"> год</w:t>
      </w:r>
      <w:r w:rsidR="00645002" w:rsidRPr="00697456">
        <w:t>а</w:t>
      </w:r>
      <w:r w:rsidRPr="00697456">
        <w:t xml:space="preserve"> составили </w:t>
      </w:r>
      <w:r w:rsidR="00F4260E">
        <w:t>21 403,5</w:t>
      </w:r>
      <w:r w:rsidRPr="00697456">
        <w:t xml:space="preserve"> тыс</w:t>
      </w:r>
      <w:proofErr w:type="gramStart"/>
      <w:r w:rsidRPr="00697456">
        <w:t>.р</w:t>
      </w:r>
      <w:proofErr w:type="gramEnd"/>
      <w:r w:rsidRPr="00697456">
        <w:t xml:space="preserve">уб., что </w:t>
      </w:r>
      <w:r w:rsidR="00697456" w:rsidRPr="00697456">
        <w:t xml:space="preserve">на </w:t>
      </w:r>
      <w:r w:rsidR="00F4260E">
        <w:t>10,6% выш</w:t>
      </w:r>
      <w:r w:rsidR="00697456" w:rsidRPr="00697456">
        <w:t>е</w:t>
      </w:r>
      <w:r w:rsidRPr="00697456">
        <w:t xml:space="preserve"> доходов за аналогичный период 201</w:t>
      </w:r>
      <w:r w:rsidR="00F4260E">
        <w:t>8</w:t>
      </w:r>
      <w:r w:rsidR="00697456" w:rsidRPr="00697456">
        <w:t xml:space="preserve"> года</w:t>
      </w:r>
      <w:r w:rsidRPr="00B418F3">
        <w:t xml:space="preserve">. </w:t>
      </w:r>
      <w:r w:rsidR="00FA7C1C">
        <w:t xml:space="preserve">При этом, по </w:t>
      </w:r>
      <w:r w:rsidR="00B418F3" w:rsidRPr="00B418F3">
        <w:t>прежнему</w:t>
      </w:r>
      <w:r w:rsidR="00FA7C1C">
        <w:t>,</w:t>
      </w:r>
      <w:r w:rsidR="00B418F3" w:rsidRPr="00B418F3">
        <w:t xml:space="preserve"> часть доходов имеет</w:t>
      </w:r>
      <w:r w:rsidRPr="00B418F3">
        <w:t xml:space="preserve"> целевое назначение</w:t>
      </w:r>
      <w:r w:rsidR="000B523A">
        <w:t>: субвенции на выполнение</w:t>
      </w:r>
      <w:r w:rsidR="006C28FF">
        <w:t xml:space="preserve"> передаваемых </w:t>
      </w:r>
      <w:r w:rsidR="000B523A">
        <w:t>гос</w:t>
      </w:r>
      <w:proofErr w:type="gramStart"/>
      <w:r w:rsidR="000B523A">
        <w:t>.п</w:t>
      </w:r>
      <w:proofErr w:type="gramEnd"/>
      <w:r w:rsidR="000B523A">
        <w:t>олномочий</w:t>
      </w:r>
      <w:r w:rsidR="006C28FF">
        <w:t>, а также на ведение</w:t>
      </w:r>
      <w:r w:rsidR="000B523A">
        <w:t xml:space="preserve"> первичного воинского учета и ЗАГС </w:t>
      </w:r>
      <w:r w:rsidR="005C75A0">
        <w:t>–</w:t>
      </w:r>
      <w:r w:rsidR="000B523A">
        <w:t xml:space="preserve"> </w:t>
      </w:r>
      <w:r w:rsidR="006C28FF">
        <w:t xml:space="preserve">118,6 </w:t>
      </w:r>
      <w:r w:rsidR="005C75A0">
        <w:t xml:space="preserve">тыс.руб.; </w:t>
      </w:r>
      <w:r w:rsidR="00026C75">
        <w:t xml:space="preserve">трансферты на выполнение передаваемых полномочий – </w:t>
      </w:r>
      <w:r w:rsidR="00E021B5">
        <w:t>302,4</w:t>
      </w:r>
      <w:r w:rsidR="00026C75">
        <w:t xml:space="preserve"> тыс.руб.</w:t>
      </w:r>
      <w:r w:rsidR="000702B2">
        <w:t xml:space="preserve">; на формирование дорожного фонда – </w:t>
      </w:r>
      <w:r w:rsidR="00190790">
        <w:t>4 072,5 тыс.руб. (с учетом переходящего остатка)</w:t>
      </w:r>
      <w:r w:rsidR="003F5359">
        <w:t xml:space="preserve">; на исполнение </w:t>
      </w:r>
      <w:r w:rsidR="003F5359" w:rsidRPr="00785BB4">
        <w:t>наказов избирателей – 500,0 тыс</w:t>
      </w:r>
      <w:proofErr w:type="gramStart"/>
      <w:r w:rsidR="003F5359" w:rsidRPr="00785BB4">
        <w:t>.р</w:t>
      </w:r>
      <w:proofErr w:type="gramEnd"/>
      <w:r w:rsidR="003F5359" w:rsidRPr="00785BB4">
        <w:t>уб.</w:t>
      </w:r>
      <w:r w:rsidR="006C5D88">
        <w:t>.</w:t>
      </w:r>
      <w:r w:rsidR="0016703E">
        <w:t xml:space="preserve">; гранд </w:t>
      </w:r>
      <w:r w:rsidR="0010396B">
        <w:t xml:space="preserve">от ПАО «Газпром нефть» на реализацию проекта – </w:t>
      </w:r>
      <w:r w:rsidR="002860BF">
        <w:t>303,4 тыс.руб.</w:t>
      </w:r>
      <w:r w:rsidRPr="00785BB4">
        <w:t xml:space="preserve"> </w:t>
      </w:r>
    </w:p>
    <w:p w:rsidR="0023631B" w:rsidRPr="004C5A79" w:rsidRDefault="0023631B" w:rsidP="0023631B">
      <w:pPr>
        <w:ind w:firstLine="855"/>
        <w:jc w:val="both"/>
      </w:pPr>
      <w:r w:rsidRPr="004C5A79">
        <w:rPr>
          <w:b/>
          <w:bCs/>
        </w:rPr>
        <w:t>Предварительные расходы бюджета МО</w:t>
      </w:r>
      <w:r w:rsidRPr="004C5A79">
        <w:t xml:space="preserve"> за истекший период 201</w:t>
      </w:r>
      <w:r w:rsidR="006A62EA">
        <w:t>9</w:t>
      </w:r>
      <w:r w:rsidRPr="004C5A79">
        <w:t xml:space="preserve"> года – </w:t>
      </w:r>
      <w:r w:rsidR="00477423">
        <w:t>19 662,1</w:t>
      </w:r>
      <w:r w:rsidRPr="004C5A79">
        <w:t xml:space="preserve"> тыс</w:t>
      </w:r>
      <w:proofErr w:type="gramStart"/>
      <w:r w:rsidRPr="004C5A79">
        <w:t>.р</w:t>
      </w:r>
      <w:proofErr w:type="gramEnd"/>
      <w:r w:rsidRPr="004C5A79">
        <w:t xml:space="preserve">уб., что </w:t>
      </w:r>
      <w:r w:rsidR="002B1E80" w:rsidRPr="004C5A79">
        <w:t>выше</w:t>
      </w:r>
      <w:r w:rsidRPr="004C5A79">
        <w:t xml:space="preserve"> расходов за 201</w:t>
      </w:r>
      <w:r w:rsidR="00477423">
        <w:t>8</w:t>
      </w:r>
      <w:r w:rsidRPr="004C5A79">
        <w:t xml:space="preserve"> год на </w:t>
      </w:r>
      <w:r w:rsidR="00477423">
        <w:t>4,1</w:t>
      </w:r>
      <w:r w:rsidRPr="004C5A79">
        <w:t xml:space="preserve">%. </w:t>
      </w:r>
      <w:r w:rsidR="002B1E80" w:rsidRPr="004C5A79">
        <w:t>Рост</w:t>
      </w:r>
      <w:r w:rsidRPr="004C5A79">
        <w:t xml:space="preserve"> расходов бюджета связан</w:t>
      </w:r>
      <w:r w:rsidR="002B1E80" w:rsidRPr="004C5A79">
        <w:t xml:space="preserve"> с</w:t>
      </w:r>
      <w:r w:rsidRPr="004C5A79">
        <w:t xml:space="preserve"> </w:t>
      </w:r>
      <w:r w:rsidR="002B1E80" w:rsidRPr="004C5A79">
        <w:t>выполнением мероприятий в рамках расходования целевых денежных средств</w:t>
      </w:r>
      <w:r w:rsidRPr="004C5A79">
        <w:t>.</w:t>
      </w:r>
    </w:p>
    <w:p w:rsidR="0023631B" w:rsidRPr="005A3A5E" w:rsidRDefault="0023631B" w:rsidP="00BA5FE4">
      <w:pPr>
        <w:ind w:firstLine="855"/>
        <w:jc w:val="both"/>
        <w:rPr>
          <w:b/>
          <w:bCs/>
        </w:rPr>
      </w:pPr>
      <w:r w:rsidRPr="005A3A5E">
        <w:t xml:space="preserve">В результате предварительно на </w:t>
      </w:r>
      <w:r w:rsidR="00416A5E" w:rsidRPr="005A3A5E">
        <w:t>0</w:t>
      </w:r>
      <w:r w:rsidR="00724B37" w:rsidRPr="005A3A5E">
        <w:t>1.10</w:t>
      </w:r>
      <w:r w:rsidRPr="005A3A5E">
        <w:t>.201</w:t>
      </w:r>
      <w:r w:rsidR="00915B3B">
        <w:t>9</w:t>
      </w:r>
      <w:r w:rsidRPr="005A3A5E">
        <w:t xml:space="preserve">г. наблюдаем исполнение бюджета за </w:t>
      </w:r>
      <w:r w:rsidR="00FA1FDC" w:rsidRPr="005A3A5E">
        <w:t xml:space="preserve">истекший период </w:t>
      </w:r>
      <w:r w:rsidRPr="005A3A5E">
        <w:t>201</w:t>
      </w:r>
      <w:r w:rsidR="00915B3B">
        <w:t>9</w:t>
      </w:r>
      <w:r w:rsidRPr="005A3A5E">
        <w:t xml:space="preserve"> год</w:t>
      </w:r>
      <w:r w:rsidR="00FA1FDC" w:rsidRPr="005A3A5E">
        <w:t>а</w:t>
      </w:r>
      <w:r w:rsidRPr="005A3A5E">
        <w:t xml:space="preserve"> с </w:t>
      </w:r>
      <w:r w:rsidR="00416A5E" w:rsidRPr="005A3A5E">
        <w:rPr>
          <w:b/>
          <w:bCs/>
        </w:rPr>
        <w:t>про</w:t>
      </w:r>
      <w:r w:rsidRPr="005A3A5E">
        <w:rPr>
          <w:b/>
          <w:bCs/>
        </w:rPr>
        <w:t xml:space="preserve">фицитом </w:t>
      </w:r>
      <w:r w:rsidR="00915B3B">
        <w:rPr>
          <w:b/>
          <w:bCs/>
        </w:rPr>
        <w:t>1741,4</w:t>
      </w:r>
      <w:r w:rsidRPr="005A3A5E">
        <w:rPr>
          <w:b/>
          <w:bCs/>
        </w:rPr>
        <w:t xml:space="preserve"> тыс. руб.</w:t>
      </w:r>
      <w:r w:rsidRPr="005A3A5E">
        <w:t xml:space="preserve"> </w:t>
      </w:r>
    </w:p>
    <w:p w:rsidR="0023631B" w:rsidRPr="00D900CD" w:rsidRDefault="0023631B" w:rsidP="0023631B">
      <w:pPr>
        <w:ind w:firstLine="855"/>
        <w:jc w:val="both"/>
      </w:pPr>
      <w:r w:rsidRPr="000377F7">
        <w:rPr>
          <w:b/>
          <w:bCs/>
        </w:rPr>
        <w:t xml:space="preserve">Количество малых предприятий </w:t>
      </w:r>
      <w:r w:rsidRPr="000377F7">
        <w:t xml:space="preserve">(только зарегистрированные на территории СП) составляет </w:t>
      </w:r>
      <w:r w:rsidR="00D62025">
        <w:t>2</w:t>
      </w:r>
      <w:r w:rsidRPr="000377F7">
        <w:t xml:space="preserve"> единиц</w:t>
      </w:r>
      <w:r w:rsidR="003C09EA" w:rsidRPr="000377F7">
        <w:t>ы</w:t>
      </w:r>
      <w:r w:rsidRPr="000377F7">
        <w:t xml:space="preserve">, что </w:t>
      </w:r>
      <w:r w:rsidR="003C09EA" w:rsidRPr="000377F7">
        <w:t>меньше</w:t>
      </w:r>
      <w:r w:rsidRPr="000377F7">
        <w:t xml:space="preserve"> показател</w:t>
      </w:r>
      <w:r w:rsidR="003C09EA" w:rsidRPr="000377F7">
        <w:t>я</w:t>
      </w:r>
      <w:r w:rsidRPr="000377F7">
        <w:t xml:space="preserve"> 201</w:t>
      </w:r>
      <w:r w:rsidR="003F524F">
        <w:t>8</w:t>
      </w:r>
      <w:r w:rsidRPr="000377F7">
        <w:t xml:space="preserve"> года</w:t>
      </w:r>
      <w:r w:rsidR="003C09EA" w:rsidRPr="000377F7">
        <w:t xml:space="preserve"> (</w:t>
      </w:r>
      <w:r w:rsidR="003F524F">
        <w:t xml:space="preserve">3 </w:t>
      </w:r>
      <w:r w:rsidR="003C09EA" w:rsidRPr="000377F7">
        <w:t>единиц</w:t>
      </w:r>
      <w:r w:rsidR="0063691C">
        <w:t>ы</w:t>
      </w:r>
      <w:r w:rsidR="003C09EA" w:rsidRPr="000377F7">
        <w:t>)</w:t>
      </w:r>
      <w:r w:rsidRPr="000377F7">
        <w:t xml:space="preserve">. </w:t>
      </w:r>
      <w:r w:rsidR="005A129B" w:rsidRPr="000377F7">
        <w:t>За прошедший год и</w:t>
      </w:r>
      <w:r w:rsidRPr="000377F7">
        <w:t>з общего числа малых предприятий, зарегистрированных на территории сельского поселения,</w:t>
      </w:r>
      <w:r w:rsidR="005A129B" w:rsidRPr="000377F7">
        <w:t xml:space="preserve"> остались фактически ведущие</w:t>
      </w:r>
      <w:r w:rsidRPr="000377F7">
        <w:t xml:space="preserve"> хозяйственную деятельность</w:t>
      </w:r>
      <w:r w:rsidR="000377F7" w:rsidRPr="000377F7">
        <w:t xml:space="preserve">: </w:t>
      </w:r>
      <w:r w:rsidR="009D1839">
        <w:t xml:space="preserve">по одной организации </w:t>
      </w:r>
      <w:r w:rsidR="00D900CD">
        <w:t xml:space="preserve">имеется Решение ИФНС о предстоящем исключении </w:t>
      </w:r>
      <w:r w:rsidR="00270A78">
        <w:t>недействующего</w:t>
      </w:r>
      <w:r w:rsidR="00D900CD">
        <w:t xml:space="preserve"> ЮЛ из ЕГРЮЛ</w:t>
      </w:r>
      <w:r w:rsidR="001E6703">
        <w:t xml:space="preserve"> от 25.09.2019г.</w:t>
      </w:r>
    </w:p>
    <w:p w:rsidR="0023631B" w:rsidRPr="00833383" w:rsidRDefault="0023631B" w:rsidP="0023631B">
      <w:pPr>
        <w:ind w:firstLine="855"/>
        <w:jc w:val="both"/>
      </w:pPr>
      <w:r w:rsidRPr="00833383">
        <w:rPr>
          <w:b/>
          <w:bCs/>
        </w:rPr>
        <w:t>Количество индивидуальных предпринимателей</w:t>
      </w:r>
      <w:r w:rsidRPr="00833383">
        <w:t xml:space="preserve">, зарегистрированных на территории сельского поселения, составляет </w:t>
      </w:r>
      <w:r w:rsidR="00BA2B4B">
        <w:t>15</w:t>
      </w:r>
      <w:r w:rsidRPr="00833383">
        <w:t xml:space="preserve"> человек, что </w:t>
      </w:r>
      <w:r w:rsidR="00BA2B4B">
        <w:t>значительно</w:t>
      </w:r>
      <w:r w:rsidR="00664C94" w:rsidRPr="00833383">
        <w:t xml:space="preserve"> меньше показателя</w:t>
      </w:r>
      <w:r w:rsidR="00FA1FDC" w:rsidRPr="00833383">
        <w:t xml:space="preserve"> 201</w:t>
      </w:r>
      <w:r w:rsidR="00BA2B4B">
        <w:t>8</w:t>
      </w:r>
      <w:r w:rsidR="00730F2B" w:rsidRPr="00833383">
        <w:t xml:space="preserve"> года</w:t>
      </w:r>
      <w:r w:rsidR="00664C94" w:rsidRPr="00833383">
        <w:t xml:space="preserve"> (2</w:t>
      </w:r>
      <w:r w:rsidR="00BA2B4B">
        <w:t>4</w:t>
      </w:r>
      <w:r w:rsidR="00664C94" w:rsidRPr="00833383">
        <w:t xml:space="preserve"> человек</w:t>
      </w:r>
      <w:r w:rsidR="00BA2B4B">
        <w:t>а</w:t>
      </w:r>
      <w:r w:rsidR="00664C94" w:rsidRPr="00833383">
        <w:t>)</w:t>
      </w:r>
      <w:r w:rsidR="00984F79" w:rsidRPr="00833383">
        <w:t xml:space="preserve">. </w:t>
      </w:r>
      <w:r w:rsidR="00E12D65" w:rsidRPr="00833383">
        <w:t xml:space="preserve">При этом за год прекратили свою деятельность </w:t>
      </w:r>
      <w:r w:rsidR="00BA2B4B">
        <w:t>9</w:t>
      </w:r>
      <w:r w:rsidR="002E0ED3" w:rsidRPr="00833383">
        <w:t xml:space="preserve"> ИП</w:t>
      </w:r>
      <w:r w:rsidR="00E12D65" w:rsidRPr="00833383">
        <w:t xml:space="preserve">. </w:t>
      </w:r>
      <w:r w:rsidR="00687281" w:rsidRPr="00833383">
        <w:t>Из числа</w:t>
      </w:r>
      <w:r w:rsidRPr="00833383">
        <w:t xml:space="preserve"> предпринимателей</w:t>
      </w:r>
      <w:r w:rsidR="00687281" w:rsidRPr="00833383">
        <w:t>,</w:t>
      </w:r>
      <w:r w:rsidRPr="00833383">
        <w:t xml:space="preserve"> зарегистрированных в населенных </w:t>
      </w:r>
      <w:r w:rsidR="00984F79" w:rsidRPr="00833383">
        <w:t>пунктах сельского поселения</w:t>
      </w:r>
      <w:r w:rsidR="00687281" w:rsidRPr="00833383">
        <w:t xml:space="preserve">, </w:t>
      </w:r>
      <w:r w:rsidR="00674362">
        <w:t>7</w:t>
      </w:r>
      <w:r w:rsidR="00D54666" w:rsidRPr="00833383">
        <w:t xml:space="preserve"> ИП</w:t>
      </w:r>
      <w:r w:rsidR="00984F79" w:rsidRPr="00833383">
        <w:t xml:space="preserve"> веду</w:t>
      </w:r>
      <w:r w:rsidRPr="00833383">
        <w:t>т свою деятельность за пределами территории сельского поселения</w:t>
      </w:r>
      <w:r w:rsidR="00BA1D7E" w:rsidRPr="00833383">
        <w:t xml:space="preserve"> либо фактически не работаю</w:t>
      </w:r>
      <w:r w:rsidR="005C3410" w:rsidRPr="00833383">
        <w:t>т</w:t>
      </w:r>
      <w:r w:rsidR="00EA033C" w:rsidRPr="00833383">
        <w:t>. Также на территории сельского поселения ведут деятельность 4 ИП, зарегистрированные в иных муниципальных образованиях</w:t>
      </w:r>
      <w:r w:rsidRPr="00833383">
        <w:t>.</w:t>
      </w:r>
    </w:p>
    <w:p w:rsidR="0023631B" w:rsidRPr="00833383" w:rsidRDefault="0023631B" w:rsidP="0023631B">
      <w:pPr>
        <w:ind w:firstLine="855"/>
        <w:jc w:val="both"/>
      </w:pPr>
      <w:r w:rsidRPr="00833383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833383">
        <w:t xml:space="preserve"> составляет на </w:t>
      </w:r>
      <w:r w:rsidR="00A057DE" w:rsidRPr="00833383">
        <w:t>0</w:t>
      </w:r>
      <w:r w:rsidR="00724B37" w:rsidRPr="00833383">
        <w:t>1</w:t>
      </w:r>
      <w:r w:rsidRPr="00833383">
        <w:t xml:space="preserve"> </w:t>
      </w:r>
      <w:r w:rsidR="00724B37" w:rsidRPr="00833383">
        <w:t>октября</w:t>
      </w:r>
      <w:r w:rsidRPr="00833383">
        <w:t xml:space="preserve"> 201</w:t>
      </w:r>
      <w:r w:rsidR="00D65939">
        <w:t>9</w:t>
      </w:r>
      <w:r w:rsidRPr="00833383">
        <w:t xml:space="preserve"> года </w:t>
      </w:r>
      <w:r w:rsidR="00D65939">
        <w:rPr>
          <w:b/>
        </w:rPr>
        <w:t>28</w:t>
      </w:r>
      <w:r w:rsidRPr="00833383">
        <w:t xml:space="preserve"> человек, что </w:t>
      </w:r>
      <w:r w:rsidR="00833383" w:rsidRPr="00833383">
        <w:t>чуть меньше</w:t>
      </w:r>
      <w:r w:rsidRPr="00833383">
        <w:t xml:space="preserve"> показател</w:t>
      </w:r>
      <w:r w:rsidR="00833383" w:rsidRPr="00833383">
        <w:t xml:space="preserve">я </w:t>
      </w:r>
      <w:r w:rsidRPr="00833383">
        <w:t>201</w:t>
      </w:r>
      <w:r w:rsidR="00E5270F">
        <w:t>8</w:t>
      </w:r>
      <w:r w:rsidRPr="00833383">
        <w:t xml:space="preserve"> год</w:t>
      </w:r>
      <w:r w:rsidR="00833383" w:rsidRPr="00833383">
        <w:t>а</w:t>
      </w:r>
      <w:r w:rsidRPr="00833383">
        <w:t>.</w:t>
      </w:r>
      <w:r w:rsidR="002E3F4C" w:rsidRPr="00833383">
        <w:t xml:space="preserve"> </w:t>
      </w:r>
    </w:p>
    <w:p w:rsidR="0023631B" w:rsidRPr="001C33C2" w:rsidRDefault="0023631B" w:rsidP="0023631B">
      <w:pPr>
        <w:ind w:firstLine="851"/>
        <w:jc w:val="both"/>
        <w:rPr>
          <w:b/>
        </w:rPr>
      </w:pPr>
      <w:r w:rsidRPr="001C33C2">
        <w:rPr>
          <w:b/>
        </w:rPr>
        <w:t>Актуальные (проблемные) вопросы муниципального образования сельское поселение Нялинское</w:t>
      </w:r>
    </w:p>
    <w:p w:rsidR="00066296" w:rsidRPr="001C33C2" w:rsidRDefault="0023631B" w:rsidP="00066296">
      <w:pPr>
        <w:pStyle w:val="a7"/>
        <w:numPr>
          <w:ilvl w:val="0"/>
          <w:numId w:val="3"/>
        </w:numPr>
        <w:jc w:val="both"/>
      </w:pPr>
      <w:r w:rsidRPr="001C33C2">
        <w:t xml:space="preserve">Отсутствие централизованного газоснабжения. </w:t>
      </w:r>
    </w:p>
    <w:p w:rsidR="0023631B" w:rsidRPr="001C33C2" w:rsidRDefault="00066296" w:rsidP="0023631B">
      <w:pPr>
        <w:ind w:firstLine="851"/>
        <w:jc w:val="both"/>
      </w:pPr>
      <w:r w:rsidRPr="001C33C2">
        <w:t>3</w:t>
      </w:r>
      <w:r w:rsidR="0023631B" w:rsidRPr="001C33C2">
        <w:t>.</w:t>
      </w:r>
      <w:r w:rsidR="0023631B" w:rsidRPr="001C33C2">
        <w:tab/>
        <w:t xml:space="preserve">Высокие тарифы на </w:t>
      </w:r>
      <w:proofErr w:type="spellStart"/>
      <w:r w:rsidR="0023631B" w:rsidRPr="001C33C2">
        <w:t>теплоэнергию</w:t>
      </w:r>
      <w:proofErr w:type="spellEnd"/>
      <w:r w:rsidR="0023631B" w:rsidRPr="001C33C2">
        <w:t xml:space="preserve"> (централизованное теплоснабжение).</w:t>
      </w:r>
    </w:p>
    <w:p w:rsidR="0023631B" w:rsidRPr="00704969" w:rsidRDefault="0023631B" w:rsidP="0023631B">
      <w:pPr>
        <w:ind w:firstLine="851"/>
        <w:jc w:val="both"/>
      </w:pPr>
      <w:r w:rsidRPr="001C33C2">
        <w:lastRenderedPageBreak/>
        <w:t>3.</w:t>
      </w:r>
      <w:r w:rsidRPr="001C33C2">
        <w:tab/>
        <w:t>Очередь на получение жилья по социальному найму</w:t>
      </w:r>
      <w:r w:rsidR="001C33C2" w:rsidRPr="001C33C2">
        <w:t xml:space="preserve"> и возросшая потребность в служебном жилье</w:t>
      </w:r>
      <w:r w:rsidRPr="001C33C2">
        <w:t>. Эта проблема в последние годы встала весьма остро, так как значительная часть муниципального жилья ветхое, подлежащее сносу или капитальному ремонту</w:t>
      </w:r>
      <w:r w:rsidRPr="00704969">
        <w:t xml:space="preserve">. </w:t>
      </w:r>
      <w:r w:rsidR="00704969" w:rsidRPr="00704969">
        <w:t>Т</w:t>
      </w:r>
      <w:r w:rsidRPr="00704969">
        <w:t>екущая работа (строительство и ремонт жилья)</w:t>
      </w:r>
      <w:r w:rsidR="00704969" w:rsidRPr="00704969">
        <w:t xml:space="preserve"> не ведется в необходимом объеме и</w:t>
      </w:r>
      <w:r w:rsidRPr="00704969">
        <w:t xml:space="preserve"> не обеспечивает существующей потребности. </w:t>
      </w:r>
    </w:p>
    <w:p w:rsidR="0023631B" w:rsidRPr="001C33C2" w:rsidRDefault="0023631B" w:rsidP="0023631B">
      <w:pPr>
        <w:ind w:firstLine="851"/>
        <w:jc w:val="both"/>
      </w:pPr>
      <w:r w:rsidRPr="001C33C2">
        <w:t>4.</w:t>
      </w:r>
      <w:r w:rsidRPr="001C33C2">
        <w:tab/>
      </w:r>
      <w:r w:rsidR="001C33C2" w:rsidRPr="001C33C2">
        <w:t>Необходимость улучшения состояния дорог сельского поселения</w:t>
      </w:r>
      <w:r w:rsidRPr="001C33C2">
        <w:t>.</w:t>
      </w:r>
    </w:p>
    <w:p w:rsidR="005909AF" w:rsidRPr="006A3B76" w:rsidRDefault="0023631B" w:rsidP="005909AF">
      <w:pPr>
        <w:ind w:firstLine="851"/>
        <w:jc w:val="both"/>
      </w:pPr>
      <w:r w:rsidRPr="006A3B76">
        <w:t>5.</w:t>
      </w:r>
      <w:r w:rsidRPr="006A3B76">
        <w:tab/>
        <w:t xml:space="preserve">Отсутствует постоянное и надежное транспортное сообщение. </w:t>
      </w:r>
      <w:proofErr w:type="spellStart"/>
      <w:r w:rsidRPr="006A3B76">
        <w:t>Пассажироперевозки</w:t>
      </w:r>
      <w:proofErr w:type="spellEnd"/>
      <w:r w:rsidRPr="006A3B76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6A3B76">
        <w:t>прод</w:t>
      </w:r>
      <w:proofErr w:type="spellEnd"/>
      <w:r w:rsidRPr="006A3B76">
        <w:t xml:space="preserve">- и промтовары, </w:t>
      </w:r>
      <w:proofErr w:type="spellStart"/>
      <w:r w:rsidRPr="006A3B76">
        <w:t>стройтовары</w:t>
      </w:r>
      <w:proofErr w:type="spellEnd"/>
      <w:r w:rsidRPr="006A3B76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5909AF" w:rsidRPr="00D42BDC" w:rsidRDefault="005909AF" w:rsidP="005909AF">
      <w:pPr>
        <w:ind w:firstLine="851"/>
        <w:jc w:val="both"/>
      </w:pPr>
      <w:r w:rsidRPr="00D42BDC">
        <w:t>6.</w:t>
      </w:r>
      <w:r w:rsidRPr="00D42BDC">
        <w:tab/>
      </w:r>
      <w:r w:rsidR="006A2359" w:rsidRPr="00D42BDC">
        <w:t>Нехватка</w:t>
      </w:r>
      <w:r w:rsidR="00F51E82" w:rsidRPr="00D42BDC">
        <w:t xml:space="preserve"> кадров, в том числе имеющих квалификации в сферах образования и медицины.</w:t>
      </w:r>
      <w:r w:rsidR="006A2359" w:rsidRPr="00D42BDC">
        <w:t xml:space="preserve"> </w:t>
      </w:r>
      <w:r w:rsidRPr="00D42BDC">
        <w:t xml:space="preserve">В связи с началом работы </w:t>
      </w:r>
      <w:r w:rsidR="00695C42" w:rsidRPr="00D42BDC">
        <w:t>Кадетской школы-интернат увеличилась потребность в получении медицинских услуг в области педиатрии и стоматологии.</w:t>
      </w:r>
    </w:p>
    <w:p w:rsidR="0023631B" w:rsidRPr="001708B0" w:rsidRDefault="0023631B" w:rsidP="0023631B">
      <w:pPr>
        <w:ind w:firstLine="851"/>
        <w:jc w:val="both"/>
        <w:rPr>
          <w:b/>
        </w:rPr>
      </w:pPr>
      <w:r w:rsidRPr="001708B0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23631B" w:rsidRPr="001708B0" w:rsidRDefault="00780C0B" w:rsidP="0023631B">
      <w:pPr>
        <w:ind w:firstLine="851"/>
        <w:jc w:val="both"/>
      </w:pPr>
      <w:r w:rsidRPr="001708B0">
        <w:t>В</w:t>
      </w:r>
      <w:r w:rsidR="0023631B" w:rsidRPr="001708B0">
        <w:t xml:space="preserve"> 201</w:t>
      </w:r>
      <w:r w:rsidR="00901AA1">
        <w:t>9</w:t>
      </w:r>
      <w:r w:rsidR="0023631B" w:rsidRPr="001708B0">
        <w:t xml:space="preserve"> году проблема транспортной доступности населенных пунктов</w:t>
      </w:r>
      <w:r w:rsidR="005A6591" w:rsidRPr="001708B0">
        <w:t xml:space="preserve"> решалась следующим образом</w:t>
      </w:r>
      <w:r w:rsidR="0023631B" w:rsidRPr="001708B0">
        <w:t>: автозимник</w:t>
      </w:r>
      <w:r w:rsidR="00103A86" w:rsidRPr="001708B0">
        <w:t xml:space="preserve"> до г. Ханты-Мансийска</w:t>
      </w:r>
      <w:r w:rsidR="0023631B" w:rsidRPr="001708B0">
        <w:t xml:space="preserve"> обслуживался </w:t>
      </w:r>
      <w:r w:rsidR="009838A4" w:rsidRPr="001708B0">
        <w:t>ОАО «</w:t>
      </w:r>
      <w:proofErr w:type="spellStart"/>
      <w:r w:rsidR="009838A4" w:rsidRPr="001708B0">
        <w:t>Северавтодор</w:t>
      </w:r>
      <w:proofErr w:type="spellEnd"/>
      <w:r w:rsidR="009838A4" w:rsidRPr="001708B0">
        <w:t>»</w:t>
      </w:r>
      <w:r w:rsidR="00F67D9A">
        <w:t xml:space="preserve"> </w:t>
      </w:r>
      <w:r w:rsidR="0023631B" w:rsidRPr="001708B0">
        <w:t>и содержался весь сезон на «отлично»; действовали пассажирские рейсы микроавтобусов</w:t>
      </w:r>
      <w:r w:rsidR="00077461" w:rsidRPr="001708B0">
        <w:t xml:space="preserve"> и </w:t>
      </w:r>
      <w:proofErr w:type="spellStart"/>
      <w:r w:rsidR="00077461" w:rsidRPr="001708B0">
        <w:t>вахтовок</w:t>
      </w:r>
      <w:proofErr w:type="spellEnd"/>
      <w:r w:rsidR="0023631B" w:rsidRPr="001708B0">
        <w:t xml:space="preserve"> в г. Ханты-Мансийск</w:t>
      </w:r>
      <w:r w:rsidR="00317D93">
        <w:t xml:space="preserve"> (имелись перебои в рейсах микроавтобусов</w:t>
      </w:r>
      <w:r w:rsidR="00051FD0" w:rsidRPr="001708B0">
        <w:t>)</w:t>
      </w:r>
      <w:r w:rsidR="0023631B" w:rsidRPr="001708B0">
        <w:t xml:space="preserve">; </w:t>
      </w:r>
      <w:proofErr w:type="gramStart"/>
      <w:r w:rsidR="0023631B" w:rsidRPr="001708B0">
        <w:t xml:space="preserve">на период распутицы выполняются по два рейса вертолета в с. Нялинское (маршрут Ханты-Мансийск – </w:t>
      </w:r>
      <w:proofErr w:type="spellStart"/>
      <w:r w:rsidR="0023631B" w:rsidRPr="001708B0">
        <w:t>Зенково</w:t>
      </w:r>
      <w:proofErr w:type="spellEnd"/>
      <w:r w:rsidR="0023631B" w:rsidRPr="001708B0">
        <w:t xml:space="preserve"> – </w:t>
      </w:r>
      <w:proofErr w:type="spellStart"/>
      <w:r w:rsidR="0023631B" w:rsidRPr="001708B0">
        <w:t>Селиярово</w:t>
      </w:r>
      <w:proofErr w:type="spellEnd"/>
      <w:r w:rsidR="0023631B" w:rsidRPr="001708B0">
        <w:t xml:space="preserve"> – Нялино – Ханты-Мансийск) и в п. Пырьях (маршрут Ханты-Мансийск – Пырьях – </w:t>
      </w:r>
      <w:proofErr w:type="spellStart"/>
      <w:r w:rsidR="0023631B" w:rsidRPr="001708B0">
        <w:t>Кышик</w:t>
      </w:r>
      <w:proofErr w:type="spellEnd"/>
      <w:r w:rsidR="0023631B" w:rsidRPr="001708B0">
        <w:t xml:space="preserve"> – Ханты-Мансийск); </w:t>
      </w:r>
      <w:proofErr w:type="spellStart"/>
      <w:r w:rsidR="0023631B" w:rsidRPr="001708B0">
        <w:t>пассажироперевозки</w:t>
      </w:r>
      <w:proofErr w:type="spellEnd"/>
      <w:r w:rsidR="0023631B" w:rsidRPr="001708B0">
        <w:t xml:space="preserve"> в п. Пырьях в навигационный период</w:t>
      </w:r>
      <w:r w:rsidR="00FA2004" w:rsidRPr="001708B0">
        <w:t xml:space="preserve"> и часть межнавигационного периода</w:t>
      </w:r>
      <w:r w:rsidR="0023631B" w:rsidRPr="001708B0">
        <w:t xml:space="preserve"> осуществля</w:t>
      </w:r>
      <w:r w:rsidR="00FA2004" w:rsidRPr="001708B0">
        <w:t>ются</w:t>
      </w:r>
      <w:r w:rsidR="0023631B" w:rsidRPr="001708B0">
        <w:t xml:space="preserve"> судном на воздушной подушке</w:t>
      </w:r>
      <w:r w:rsidR="00103A86" w:rsidRPr="001708B0">
        <w:t>, в с. Нялинское</w:t>
      </w:r>
      <w:r w:rsidR="001708B0" w:rsidRPr="001708B0">
        <w:t xml:space="preserve"> в навигационный период</w:t>
      </w:r>
      <w:r w:rsidR="00103A86" w:rsidRPr="001708B0">
        <w:t xml:space="preserve"> – теплоходом «Линда»</w:t>
      </w:r>
      <w:r w:rsidR="0023631B" w:rsidRPr="001708B0">
        <w:t>.</w:t>
      </w:r>
      <w:proofErr w:type="gramEnd"/>
      <w:r w:rsidR="0023631B" w:rsidRPr="001708B0">
        <w:t xml:space="preserve">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23631B" w:rsidRPr="001708B0" w:rsidRDefault="0023631B" w:rsidP="0023631B">
      <w:pPr>
        <w:ind w:firstLine="851"/>
        <w:jc w:val="both"/>
      </w:pPr>
      <w:r w:rsidRPr="001708B0">
        <w:t>МП «ЖЭК-3»</w:t>
      </w:r>
      <w:r w:rsidR="00780C0B" w:rsidRPr="001708B0">
        <w:t xml:space="preserve"> и ОАО «</w:t>
      </w:r>
      <w:proofErr w:type="spellStart"/>
      <w:r w:rsidR="00780C0B" w:rsidRPr="001708B0">
        <w:t>Северавтодор</w:t>
      </w:r>
      <w:proofErr w:type="spellEnd"/>
      <w:r w:rsidR="00780C0B" w:rsidRPr="001708B0">
        <w:t>»</w:t>
      </w:r>
      <w:r w:rsidRPr="001708B0">
        <w:t xml:space="preserve"> осуществлял</w:t>
      </w:r>
      <w:r w:rsidR="00780C0B" w:rsidRPr="001708B0">
        <w:t>и</w:t>
      </w:r>
      <w:r w:rsidRPr="001708B0">
        <w:t xml:space="preserve"> обслуживание </w:t>
      </w:r>
      <w:proofErr w:type="spellStart"/>
      <w:r w:rsidRPr="001708B0">
        <w:t>внутрипоселковых</w:t>
      </w:r>
      <w:proofErr w:type="spellEnd"/>
      <w:r w:rsidRPr="001708B0">
        <w:t xml:space="preserve">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</w:t>
      </w:r>
      <w:r w:rsidR="00A72DB2" w:rsidRPr="001708B0">
        <w:t xml:space="preserve"> и </w:t>
      </w:r>
      <w:proofErr w:type="spellStart"/>
      <w:r w:rsidR="00A72DB2" w:rsidRPr="001708B0">
        <w:t>водопропуски</w:t>
      </w:r>
      <w:proofErr w:type="spellEnd"/>
      <w:r w:rsidR="00A72DB2" w:rsidRPr="001708B0">
        <w:t xml:space="preserve"> </w:t>
      </w:r>
      <w:proofErr w:type="gramStart"/>
      <w:r w:rsidR="00A72DB2" w:rsidRPr="001708B0">
        <w:t>в</w:t>
      </w:r>
      <w:proofErr w:type="gramEnd"/>
      <w:r w:rsidR="00A72DB2" w:rsidRPr="001708B0">
        <w:t xml:space="preserve"> с. Нялинское.</w:t>
      </w:r>
    </w:p>
    <w:p w:rsidR="00A72DB2" w:rsidRPr="001708B0" w:rsidRDefault="001708B0" w:rsidP="0023631B">
      <w:pPr>
        <w:ind w:firstLine="851"/>
        <w:jc w:val="both"/>
      </w:pPr>
      <w:r w:rsidRPr="001708B0">
        <w:t>АСП Нялинское осуществляла</w:t>
      </w:r>
      <w:r w:rsidR="00A72DB2" w:rsidRPr="001708B0">
        <w:t xml:space="preserve"> содержание вертолетной площадки на основании переданного полномочия Ханты-Мансийского района.</w:t>
      </w:r>
    </w:p>
    <w:p w:rsidR="0023631B" w:rsidRPr="001708B0" w:rsidRDefault="0023631B" w:rsidP="0023631B">
      <w:pPr>
        <w:ind w:firstLine="851"/>
        <w:jc w:val="both"/>
      </w:pPr>
      <w:r w:rsidRPr="001708B0">
        <w:t xml:space="preserve">В рамках противопожарных мероприятий проведена опашка противопожарной полосы </w:t>
      </w:r>
      <w:proofErr w:type="gramStart"/>
      <w:r w:rsidRPr="001708B0">
        <w:t>в</w:t>
      </w:r>
      <w:proofErr w:type="gramEnd"/>
      <w:r w:rsidRPr="001708B0">
        <w:t xml:space="preserve"> с. Нялинское.</w:t>
      </w:r>
    </w:p>
    <w:p w:rsidR="00D279DA" w:rsidRPr="001708B0" w:rsidRDefault="00D279DA" w:rsidP="0023631B">
      <w:pPr>
        <w:ind w:firstLine="851"/>
        <w:jc w:val="both"/>
      </w:pPr>
      <w:r w:rsidRPr="001708B0">
        <w:t xml:space="preserve">С целью энергосбережения и повышения энергетической эффективности потребляемых ресурсов проведена частичная замена осветительного оборудования </w:t>
      </w:r>
      <w:r w:rsidR="001708B0" w:rsidRPr="001708B0">
        <w:t>уличного освещения с. Нялинское</w:t>
      </w:r>
      <w:r w:rsidR="00312DE2">
        <w:t>, установлены фотореле для автоматической регулировки освещения.</w:t>
      </w:r>
    </w:p>
    <w:p w:rsidR="0023631B" w:rsidRPr="001708B0" w:rsidRDefault="0023631B" w:rsidP="0023631B"/>
    <w:p w:rsidR="0023631B" w:rsidRPr="001708B0" w:rsidRDefault="0023631B" w:rsidP="0023631B">
      <w:pPr>
        <w:jc w:val="both"/>
      </w:pPr>
      <w:r w:rsidRPr="001708B0">
        <w:t>Краткий обзор предварительных итогов социально-экономического развития сельского поселения Нялинское за истекший период 201</w:t>
      </w:r>
      <w:r w:rsidR="00312DE2">
        <w:t>9</w:t>
      </w:r>
      <w:r w:rsidR="00D56B1B" w:rsidRPr="001708B0">
        <w:t xml:space="preserve"> </w:t>
      </w:r>
      <w:r w:rsidRPr="001708B0">
        <w:t>года составлен на основании основных показателей социально-экономического развития сельского поселения Нялинское на «</w:t>
      </w:r>
      <w:r w:rsidR="004A489B" w:rsidRPr="001708B0">
        <w:t>0</w:t>
      </w:r>
      <w:r w:rsidR="004C0F21" w:rsidRPr="001708B0">
        <w:t>1</w:t>
      </w:r>
      <w:r w:rsidRPr="001708B0">
        <w:t xml:space="preserve">» </w:t>
      </w:r>
      <w:r w:rsidR="004C0F21" w:rsidRPr="001708B0">
        <w:t>октября</w:t>
      </w:r>
      <w:r w:rsidRPr="001708B0">
        <w:t xml:space="preserve"> 201</w:t>
      </w:r>
      <w:r w:rsidR="00312DE2">
        <w:t>9</w:t>
      </w:r>
      <w:r w:rsidRPr="001708B0">
        <w:t xml:space="preserve"> года.</w:t>
      </w:r>
    </w:p>
    <w:p w:rsidR="0023631B" w:rsidRPr="00F67D9A" w:rsidRDefault="0023631B" w:rsidP="0023631B">
      <w:pPr>
        <w:ind w:left="1215"/>
        <w:jc w:val="right"/>
        <w:rPr>
          <w:sz w:val="20"/>
          <w:szCs w:val="20"/>
        </w:rPr>
      </w:pPr>
      <w:r w:rsidRPr="00F67D9A">
        <w:rPr>
          <w:sz w:val="20"/>
          <w:szCs w:val="20"/>
        </w:rPr>
        <w:t xml:space="preserve">Дата составления: </w:t>
      </w:r>
      <w:r w:rsidR="001708B0" w:rsidRPr="00F67D9A">
        <w:rPr>
          <w:sz w:val="20"/>
          <w:szCs w:val="20"/>
        </w:rPr>
        <w:t>2</w:t>
      </w:r>
      <w:r w:rsidR="00312DE2" w:rsidRPr="00F67D9A">
        <w:rPr>
          <w:sz w:val="20"/>
          <w:szCs w:val="20"/>
        </w:rPr>
        <w:t>5</w:t>
      </w:r>
      <w:r w:rsidR="00077461" w:rsidRPr="00F67D9A">
        <w:rPr>
          <w:sz w:val="20"/>
          <w:szCs w:val="20"/>
        </w:rPr>
        <w:t>.10</w:t>
      </w:r>
      <w:r w:rsidRPr="00F67D9A">
        <w:rPr>
          <w:sz w:val="20"/>
          <w:szCs w:val="20"/>
        </w:rPr>
        <w:t>.201</w:t>
      </w:r>
      <w:r w:rsidR="00312DE2" w:rsidRPr="00F67D9A">
        <w:rPr>
          <w:sz w:val="20"/>
          <w:szCs w:val="20"/>
        </w:rPr>
        <w:t>9</w:t>
      </w:r>
      <w:r w:rsidRPr="00F67D9A">
        <w:rPr>
          <w:sz w:val="20"/>
          <w:szCs w:val="20"/>
        </w:rPr>
        <w:t>г.</w:t>
      </w:r>
    </w:p>
    <w:p w:rsidR="0023631B" w:rsidRPr="00F67D9A" w:rsidRDefault="0023631B" w:rsidP="0023631B">
      <w:pPr>
        <w:ind w:left="1215"/>
        <w:jc w:val="right"/>
        <w:rPr>
          <w:sz w:val="20"/>
          <w:szCs w:val="20"/>
        </w:rPr>
      </w:pPr>
      <w:r w:rsidRPr="00F67D9A">
        <w:rPr>
          <w:sz w:val="20"/>
          <w:szCs w:val="20"/>
        </w:rPr>
        <w:t>Испо</w:t>
      </w:r>
      <w:r w:rsidR="001708B0" w:rsidRPr="00F67D9A">
        <w:rPr>
          <w:sz w:val="20"/>
          <w:szCs w:val="20"/>
        </w:rPr>
        <w:t>лнитель экономист АСП Нялинское</w:t>
      </w:r>
    </w:p>
    <w:p w:rsidR="00FC19AE" w:rsidRPr="00F67D9A" w:rsidRDefault="0023631B" w:rsidP="00F67D9A">
      <w:pPr>
        <w:ind w:left="1215"/>
        <w:jc w:val="right"/>
        <w:rPr>
          <w:sz w:val="20"/>
          <w:szCs w:val="20"/>
        </w:rPr>
      </w:pPr>
      <w:r w:rsidRPr="00F67D9A">
        <w:rPr>
          <w:sz w:val="20"/>
          <w:szCs w:val="20"/>
        </w:rPr>
        <w:t>Коптяева Надежда Валерьевна</w:t>
      </w:r>
      <w:r w:rsidR="00F67D9A">
        <w:rPr>
          <w:sz w:val="20"/>
          <w:szCs w:val="20"/>
        </w:rPr>
        <w:t xml:space="preserve">, тел.: </w:t>
      </w:r>
      <w:bookmarkStart w:id="0" w:name="_GoBack"/>
      <w:bookmarkEnd w:id="0"/>
      <w:r w:rsidRPr="00F67D9A">
        <w:rPr>
          <w:sz w:val="20"/>
          <w:szCs w:val="20"/>
        </w:rPr>
        <w:t>8 (3467) 373526, 373617</w:t>
      </w:r>
    </w:p>
    <w:sectPr w:rsidR="00FC19AE" w:rsidRPr="00F67D9A" w:rsidSect="00026808">
      <w:headerReference w:type="default" r:id="rId8"/>
      <w:pgSz w:w="11906" w:h="16838"/>
      <w:pgMar w:top="1134" w:right="127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60" w:rsidRDefault="00317B60" w:rsidP="00F67D9A">
      <w:r>
        <w:separator/>
      </w:r>
    </w:p>
  </w:endnote>
  <w:endnote w:type="continuationSeparator" w:id="0">
    <w:p w:rsidR="00317B60" w:rsidRDefault="00317B60" w:rsidP="00F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60" w:rsidRDefault="00317B60" w:rsidP="00F67D9A">
      <w:r>
        <w:separator/>
      </w:r>
    </w:p>
  </w:footnote>
  <w:footnote w:type="continuationSeparator" w:id="0">
    <w:p w:rsidR="00317B60" w:rsidRDefault="00317B60" w:rsidP="00F6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9A" w:rsidRPr="00F67D9A" w:rsidRDefault="00F67D9A">
    <w:pPr>
      <w:pStyle w:val="aa"/>
      <w:jc w:val="center"/>
      <w:rPr>
        <w:sz w:val="20"/>
        <w:szCs w:val="20"/>
      </w:rPr>
    </w:pPr>
  </w:p>
  <w:p w:rsidR="00F67D9A" w:rsidRDefault="00F67D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D17750D"/>
    <w:multiLevelType w:val="hybridMultilevel"/>
    <w:tmpl w:val="96B2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EF44AF"/>
    <w:multiLevelType w:val="hybridMultilevel"/>
    <w:tmpl w:val="203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571"/>
    <w:rsid w:val="00000200"/>
    <w:rsid w:val="00004F0B"/>
    <w:rsid w:val="0000607C"/>
    <w:rsid w:val="0001442E"/>
    <w:rsid w:val="00014706"/>
    <w:rsid w:val="00015663"/>
    <w:rsid w:val="000248DC"/>
    <w:rsid w:val="00026808"/>
    <w:rsid w:val="00026C75"/>
    <w:rsid w:val="000352CF"/>
    <w:rsid w:val="0003612E"/>
    <w:rsid w:val="000377F7"/>
    <w:rsid w:val="00051FD0"/>
    <w:rsid w:val="00060FC7"/>
    <w:rsid w:val="00066296"/>
    <w:rsid w:val="00067FF4"/>
    <w:rsid w:val="000702B2"/>
    <w:rsid w:val="0007481E"/>
    <w:rsid w:val="00077461"/>
    <w:rsid w:val="000830B1"/>
    <w:rsid w:val="00086AE0"/>
    <w:rsid w:val="00093CAB"/>
    <w:rsid w:val="00094090"/>
    <w:rsid w:val="000A0908"/>
    <w:rsid w:val="000A146E"/>
    <w:rsid w:val="000A2680"/>
    <w:rsid w:val="000A4A16"/>
    <w:rsid w:val="000A5A6A"/>
    <w:rsid w:val="000A7571"/>
    <w:rsid w:val="000B12F2"/>
    <w:rsid w:val="000B227B"/>
    <w:rsid w:val="000B2589"/>
    <w:rsid w:val="000B523A"/>
    <w:rsid w:val="000B6070"/>
    <w:rsid w:val="000B6B7F"/>
    <w:rsid w:val="000D42DE"/>
    <w:rsid w:val="000D48FA"/>
    <w:rsid w:val="000E480D"/>
    <w:rsid w:val="000E5689"/>
    <w:rsid w:val="0010396B"/>
    <w:rsid w:val="00103A86"/>
    <w:rsid w:val="001043AD"/>
    <w:rsid w:val="00107443"/>
    <w:rsid w:val="0011055E"/>
    <w:rsid w:val="001136CE"/>
    <w:rsid w:val="00122210"/>
    <w:rsid w:val="00123BEC"/>
    <w:rsid w:val="001250D7"/>
    <w:rsid w:val="0012699A"/>
    <w:rsid w:val="001310FD"/>
    <w:rsid w:val="00136A17"/>
    <w:rsid w:val="00142638"/>
    <w:rsid w:val="001452CD"/>
    <w:rsid w:val="00157720"/>
    <w:rsid w:val="001621A4"/>
    <w:rsid w:val="0016703E"/>
    <w:rsid w:val="001708B0"/>
    <w:rsid w:val="001761D4"/>
    <w:rsid w:val="00177DA1"/>
    <w:rsid w:val="0018549C"/>
    <w:rsid w:val="00190790"/>
    <w:rsid w:val="00192F5A"/>
    <w:rsid w:val="001941DD"/>
    <w:rsid w:val="001A2583"/>
    <w:rsid w:val="001A3A38"/>
    <w:rsid w:val="001A5AAF"/>
    <w:rsid w:val="001A71E2"/>
    <w:rsid w:val="001B041F"/>
    <w:rsid w:val="001B046D"/>
    <w:rsid w:val="001B7DB9"/>
    <w:rsid w:val="001C33C2"/>
    <w:rsid w:val="001D3D7F"/>
    <w:rsid w:val="001D6127"/>
    <w:rsid w:val="001D620F"/>
    <w:rsid w:val="001E0F94"/>
    <w:rsid w:val="001E154D"/>
    <w:rsid w:val="001E6703"/>
    <w:rsid w:val="001E7651"/>
    <w:rsid w:val="001F583A"/>
    <w:rsid w:val="001F69F9"/>
    <w:rsid w:val="00200EDF"/>
    <w:rsid w:val="00201E9F"/>
    <w:rsid w:val="00214877"/>
    <w:rsid w:val="002164CB"/>
    <w:rsid w:val="0023631B"/>
    <w:rsid w:val="00247997"/>
    <w:rsid w:val="00251F88"/>
    <w:rsid w:val="00254BB1"/>
    <w:rsid w:val="00270A78"/>
    <w:rsid w:val="00282F0C"/>
    <w:rsid w:val="002860BF"/>
    <w:rsid w:val="002901B4"/>
    <w:rsid w:val="00293592"/>
    <w:rsid w:val="00293F87"/>
    <w:rsid w:val="002A457B"/>
    <w:rsid w:val="002A5920"/>
    <w:rsid w:val="002B1E80"/>
    <w:rsid w:val="002B39B9"/>
    <w:rsid w:val="002B5D1C"/>
    <w:rsid w:val="002C20C4"/>
    <w:rsid w:val="002C2AC4"/>
    <w:rsid w:val="002C2C20"/>
    <w:rsid w:val="002E0ED3"/>
    <w:rsid w:val="002E1BFB"/>
    <w:rsid w:val="002E3F4C"/>
    <w:rsid w:val="003015E5"/>
    <w:rsid w:val="0030373C"/>
    <w:rsid w:val="00312DE2"/>
    <w:rsid w:val="00314545"/>
    <w:rsid w:val="003174BA"/>
    <w:rsid w:val="00317B60"/>
    <w:rsid w:val="00317D93"/>
    <w:rsid w:val="003206CF"/>
    <w:rsid w:val="003224B8"/>
    <w:rsid w:val="00331BAC"/>
    <w:rsid w:val="0034160C"/>
    <w:rsid w:val="00344E63"/>
    <w:rsid w:val="00347CEA"/>
    <w:rsid w:val="00354504"/>
    <w:rsid w:val="00360443"/>
    <w:rsid w:val="003635C7"/>
    <w:rsid w:val="00363D83"/>
    <w:rsid w:val="00364839"/>
    <w:rsid w:val="00366B76"/>
    <w:rsid w:val="00367D69"/>
    <w:rsid w:val="00376654"/>
    <w:rsid w:val="003770E4"/>
    <w:rsid w:val="0037739F"/>
    <w:rsid w:val="0038009F"/>
    <w:rsid w:val="003806A9"/>
    <w:rsid w:val="00382364"/>
    <w:rsid w:val="003828E6"/>
    <w:rsid w:val="00382E52"/>
    <w:rsid w:val="003831A0"/>
    <w:rsid w:val="003871FD"/>
    <w:rsid w:val="00390789"/>
    <w:rsid w:val="00394D40"/>
    <w:rsid w:val="003973FF"/>
    <w:rsid w:val="003A59A8"/>
    <w:rsid w:val="003C09EA"/>
    <w:rsid w:val="003C1282"/>
    <w:rsid w:val="003C631A"/>
    <w:rsid w:val="003D4566"/>
    <w:rsid w:val="003E02E9"/>
    <w:rsid w:val="003E3629"/>
    <w:rsid w:val="003E4AEE"/>
    <w:rsid w:val="003E50B7"/>
    <w:rsid w:val="003F36B6"/>
    <w:rsid w:val="003F524F"/>
    <w:rsid w:val="003F5359"/>
    <w:rsid w:val="004014C0"/>
    <w:rsid w:val="00401685"/>
    <w:rsid w:val="004130B9"/>
    <w:rsid w:val="00414327"/>
    <w:rsid w:val="00416A5E"/>
    <w:rsid w:val="00424D82"/>
    <w:rsid w:val="00430D4C"/>
    <w:rsid w:val="00432EDD"/>
    <w:rsid w:val="00443223"/>
    <w:rsid w:val="00450AAC"/>
    <w:rsid w:val="004550E6"/>
    <w:rsid w:val="00455983"/>
    <w:rsid w:val="004572BA"/>
    <w:rsid w:val="00472B66"/>
    <w:rsid w:val="00472FD2"/>
    <w:rsid w:val="00477423"/>
    <w:rsid w:val="00485C4C"/>
    <w:rsid w:val="00491008"/>
    <w:rsid w:val="004A489B"/>
    <w:rsid w:val="004B0387"/>
    <w:rsid w:val="004B1F8A"/>
    <w:rsid w:val="004B3111"/>
    <w:rsid w:val="004B7ADB"/>
    <w:rsid w:val="004C0F21"/>
    <w:rsid w:val="004C240C"/>
    <w:rsid w:val="004C3108"/>
    <w:rsid w:val="004C40C3"/>
    <w:rsid w:val="004C468E"/>
    <w:rsid w:val="004C5A79"/>
    <w:rsid w:val="004D28BF"/>
    <w:rsid w:val="004E3D49"/>
    <w:rsid w:val="004F1C71"/>
    <w:rsid w:val="004F1FB7"/>
    <w:rsid w:val="004F5401"/>
    <w:rsid w:val="004F76D5"/>
    <w:rsid w:val="0050308F"/>
    <w:rsid w:val="0050468C"/>
    <w:rsid w:val="0050570E"/>
    <w:rsid w:val="005059DC"/>
    <w:rsid w:val="00515D91"/>
    <w:rsid w:val="00521188"/>
    <w:rsid w:val="00523976"/>
    <w:rsid w:val="00523F78"/>
    <w:rsid w:val="00527CF1"/>
    <w:rsid w:val="005354D7"/>
    <w:rsid w:val="00535944"/>
    <w:rsid w:val="005470C1"/>
    <w:rsid w:val="00550D79"/>
    <w:rsid w:val="0055153F"/>
    <w:rsid w:val="00551564"/>
    <w:rsid w:val="0055307C"/>
    <w:rsid w:val="00555CA8"/>
    <w:rsid w:val="00556C5C"/>
    <w:rsid w:val="00564766"/>
    <w:rsid w:val="005651CD"/>
    <w:rsid w:val="00570071"/>
    <w:rsid w:val="00575D55"/>
    <w:rsid w:val="00577B75"/>
    <w:rsid w:val="00582423"/>
    <w:rsid w:val="00585814"/>
    <w:rsid w:val="005909AF"/>
    <w:rsid w:val="00590ED3"/>
    <w:rsid w:val="0059291F"/>
    <w:rsid w:val="00595F8C"/>
    <w:rsid w:val="005A129B"/>
    <w:rsid w:val="005A3A5E"/>
    <w:rsid w:val="005A50CE"/>
    <w:rsid w:val="005A6591"/>
    <w:rsid w:val="005B0B77"/>
    <w:rsid w:val="005B3A63"/>
    <w:rsid w:val="005B6570"/>
    <w:rsid w:val="005C04D1"/>
    <w:rsid w:val="005C2900"/>
    <w:rsid w:val="005C3410"/>
    <w:rsid w:val="005C4A61"/>
    <w:rsid w:val="005C526D"/>
    <w:rsid w:val="005C6E3A"/>
    <w:rsid w:val="005C75A0"/>
    <w:rsid w:val="005D3783"/>
    <w:rsid w:val="005E2CB1"/>
    <w:rsid w:val="005E75E7"/>
    <w:rsid w:val="0060074C"/>
    <w:rsid w:val="00602165"/>
    <w:rsid w:val="00607B2E"/>
    <w:rsid w:val="00611062"/>
    <w:rsid w:val="00613BC2"/>
    <w:rsid w:val="006142A3"/>
    <w:rsid w:val="00614C13"/>
    <w:rsid w:val="006342B4"/>
    <w:rsid w:val="0063476B"/>
    <w:rsid w:val="0063691C"/>
    <w:rsid w:val="0064141A"/>
    <w:rsid w:val="00645002"/>
    <w:rsid w:val="006476E7"/>
    <w:rsid w:val="006530E5"/>
    <w:rsid w:val="00654017"/>
    <w:rsid w:val="00654BD1"/>
    <w:rsid w:val="00664C94"/>
    <w:rsid w:val="00667287"/>
    <w:rsid w:val="00670836"/>
    <w:rsid w:val="00671BD3"/>
    <w:rsid w:val="00672F70"/>
    <w:rsid w:val="0067334C"/>
    <w:rsid w:val="00674362"/>
    <w:rsid w:val="00686E2F"/>
    <w:rsid w:val="00687281"/>
    <w:rsid w:val="00695C42"/>
    <w:rsid w:val="00697456"/>
    <w:rsid w:val="006A2359"/>
    <w:rsid w:val="006A2D16"/>
    <w:rsid w:val="006A3B76"/>
    <w:rsid w:val="006A4D31"/>
    <w:rsid w:val="006A62EA"/>
    <w:rsid w:val="006A6AAA"/>
    <w:rsid w:val="006B6E6A"/>
    <w:rsid w:val="006C28FF"/>
    <w:rsid w:val="006C356F"/>
    <w:rsid w:val="006C5D88"/>
    <w:rsid w:val="006C69F7"/>
    <w:rsid w:val="006C6DF1"/>
    <w:rsid w:val="006C6EFA"/>
    <w:rsid w:val="006D2899"/>
    <w:rsid w:val="006D50F8"/>
    <w:rsid w:val="006E0416"/>
    <w:rsid w:val="006E5494"/>
    <w:rsid w:val="006F09CC"/>
    <w:rsid w:val="00702293"/>
    <w:rsid w:val="00704969"/>
    <w:rsid w:val="00707CE2"/>
    <w:rsid w:val="007107B4"/>
    <w:rsid w:val="00712DC4"/>
    <w:rsid w:val="007177A8"/>
    <w:rsid w:val="007219B3"/>
    <w:rsid w:val="00722FD8"/>
    <w:rsid w:val="00724B37"/>
    <w:rsid w:val="00725B54"/>
    <w:rsid w:val="00730F2B"/>
    <w:rsid w:val="00735E97"/>
    <w:rsid w:val="0073722E"/>
    <w:rsid w:val="00743678"/>
    <w:rsid w:val="0075006E"/>
    <w:rsid w:val="007711E0"/>
    <w:rsid w:val="007730AD"/>
    <w:rsid w:val="00775345"/>
    <w:rsid w:val="00780C0B"/>
    <w:rsid w:val="007839AC"/>
    <w:rsid w:val="00784EB1"/>
    <w:rsid w:val="00785105"/>
    <w:rsid w:val="00785BB4"/>
    <w:rsid w:val="00787582"/>
    <w:rsid w:val="007946A4"/>
    <w:rsid w:val="007A100B"/>
    <w:rsid w:val="007D41CA"/>
    <w:rsid w:val="007E3819"/>
    <w:rsid w:val="007E5ACB"/>
    <w:rsid w:val="007E66D4"/>
    <w:rsid w:val="007F3C92"/>
    <w:rsid w:val="007F6F3C"/>
    <w:rsid w:val="00802049"/>
    <w:rsid w:val="008054E5"/>
    <w:rsid w:val="008057B0"/>
    <w:rsid w:val="0081162F"/>
    <w:rsid w:val="00823A3F"/>
    <w:rsid w:val="00823F20"/>
    <w:rsid w:val="00833383"/>
    <w:rsid w:val="008365A6"/>
    <w:rsid w:val="00843E8C"/>
    <w:rsid w:val="00850F1A"/>
    <w:rsid w:val="00861076"/>
    <w:rsid w:val="0086378B"/>
    <w:rsid w:val="00864EC0"/>
    <w:rsid w:val="008658CE"/>
    <w:rsid w:val="00873910"/>
    <w:rsid w:val="00873C14"/>
    <w:rsid w:val="00887BC2"/>
    <w:rsid w:val="008979BA"/>
    <w:rsid w:val="00897F87"/>
    <w:rsid w:val="008A5414"/>
    <w:rsid w:val="008C0DAD"/>
    <w:rsid w:val="008C39F2"/>
    <w:rsid w:val="008C6B76"/>
    <w:rsid w:val="008C791A"/>
    <w:rsid w:val="008D2CD9"/>
    <w:rsid w:val="008D677C"/>
    <w:rsid w:val="008D6E4C"/>
    <w:rsid w:val="008F340E"/>
    <w:rsid w:val="008F75B6"/>
    <w:rsid w:val="008F79ED"/>
    <w:rsid w:val="009009D7"/>
    <w:rsid w:val="00901AA1"/>
    <w:rsid w:val="00906D59"/>
    <w:rsid w:val="009115F4"/>
    <w:rsid w:val="00913C54"/>
    <w:rsid w:val="00915B3B"/>
    <w:rsid w:val="00917D1E"/>
    <w:rsid w:val="009246B7"/>
    <w:rsid w:val="00944768"/>
    <w:rsid w:val="00953381"/>
    <w:rsid w:val="0097336F"/>
    <w:rsid w:val="00980422"/>
    <w:rsid w:val="00981342"/>
    <w:rsid w:val="009838A4"/>
    <w:rsid w:val="00984F79"/>
    <w:rsid w:val="009A00C0"/>
    <w:rsid w:val="009A2932"/>
    <w:rsid w:val="009B153E"/>
    <w:rsid w:val="009B6127"/>
    <w:rsid w:val="009B61E7"/>
    <w:rsid w:val="009B655B"/>
    <w:rsid w:val="009C62D4"/>
    <w:rsid w:val="009D14C2"/>
    <w:rsid w:val="009D1839"/>
    <w:rsid w:val="009D4969"/>
    <w:rsid w:val="009E76AF"/>
    <w:rsid w:val="009F757B"/>
    <w:rsid w:val="00A0209F"/>
    <w:rsid w:val="00A03DD8"/>
    <w:rsid w:val="00A057DE"/>
    <w:rsid w:val="00A05DC5"/>
    <w:rsid w:val="00A07FA2"/>
    <w:rsid w:val="00A12B48"/>
    <w:rsid w:val="00A255E6"/>
    <w:rsid w:val="00A31F9B"/>
    <w:rsid w:val="00A34778"/>
    <w:rsid w:val="00A34EC1"/>
    <w:rsid w:val="00A3558E"/>
    <w:rsid w:val="00A51E63"/>
    <w:rsid w:val="00A53ECF"/>
    <w:rsid w:val="00A610B0"/>
    <w:rsid w:val="00A64240"/>
    <w:rsid w:val="00A67A25"/>
    <w:rsid w:val="00A72DB2"/>
    <w:rsid w:val="00A755D0"/>
    <w:rsid w:val="00A828B2"/>
    <w:rsid w:val="00A82DB9"/>
    <w:rsid w:val="00A8498C"/>
    <w:rsid w:val="00A86D4A"/>
    <w:rsid w:val="00A90565"/>
    <w:rsid w:val="00A9061D"/>
    <w:rsid w:val="00A950F1"/>
    <w:rsid w:val="00AA035E"/>
    <w:rsid w:val="00AA36FE"/>
    <w:rsid w:val="00AA4C1D"/>
    <w:rsid w:val="00AA7EB2"/>
    <w:rsid w:val="00AB3C34"/>
    <w:rsid w:val="00AC3720"/>
    <w:rsid w:val="00AC3863"/>
    <w:rsid w:val="00AC3EB3"/>
    <w:rsid w:val="00AC749B"/>
    <w:rsid w:val="00AD74C6"/>
    <w:rsid w:val="00AE2B66"/>
    <w:rsid w:val="00AE43F6"/>
    <w:rsid w:val="00AE603A"/>
    <w:rsid w:val="00AE683E"/>
    <w:rsid w:val="00AF39B5"/>
    <w:rsid w:val="00AF7E31"/>
    <w:rsid w:val="00B07A1D"/>
    <w:rsid w:val="00B12F41"/>
    <w:rsid w:val="00B237E4"/>
    <w:rsid w:val="00B24FA0"/>
    <w:rsid w:val="00B252D8"/>
    <w:rsid w:val="00B31331"/>
    <w:rsid w:val="00B418F3"/>
    <w:rsid w:val="00B46A46"/>
    <w:rsid w:val="00B654E4"/>
    <w:rsid w:val="00B67562"/>
    <w:rsid w:val="00B71973"/>
    <w:rsid w:val="00B8351C"/>
    <w:rsid w:val="00B84486"/>
    <w:rsid w:val="00B84E09"/>
    <w:rsid w:val="00B86634"/>
    <w:rsid w:val="00BA1D7E"/>
    <w:rsid w:val="00BA2B4B"/>
    <w:rsid w:val="00BA4E9B"/>
    <w:rsid w:val="00BA5FE4"/>
    <w:rsid w:val="00BC237E"/>
    <w:rsid w:val="00BC545F"/>
    <w:rsid w:val="00BD0E0E"/>
    <w:rsid w:val="00BD424E"/>
    <w:rsid w:val="00BD670D"/>
    <w:rsid w:val="00BE1F2C"/>
    <w:rsid w:val="00BE70A2"/>
    <w:rsid w:val="00BF60A4"/>
    <w:rsid w:val="00C04FC7"/>
    <w:rsid w:val="00C07553"/>
    <w:rsid w:val="00C1008A"/>
    <w:rsid w:val="00C10A67"/>
    <w:rsid w:val="00C11EA2"/>
    <w:rsid w:val="00C23578"/>
    <w:rsid w:val="00C27E55"/>
    <w:rsid w:val="00C30AD5"/>
    <w:rsid w:val="00C41000"/>
    <w:rsid w:val="00C43C77"/>
    <w:rsid w:val="00C51894"/>
    <w:rsid w:val="00C55017"/>
    <w:rsid w:val="00C5627B"/>
    <w:rsid w:val="00C63036"/>
    <w:rsid w:val="00C66F32"/>
    <w:rsid w:val="00C726D0"/>
    <w:rsid w:val="00C75CF0"/>
    <w:rsid w:val="00C81728"/>
    <w:rsid w:val="00C8441D"/>
    <w:rsid w:val="00C84E23"/>
    <w:rsid w:val="00C85CE7"/>
    <w:rsid w:val="00C91E65"/>
    <w:rsid w:val="00CA1193"/>
    <w:rsid w:val="00CA282C"/>
    <w:rsid w:val="00CA33C1"/>
    <w:rsid w:val="00CA5BAF"/>
    <w:rsid w:val="00CB187A"/>
    <w:rsid w:val="00CB66B1"/>
    <w:rsid w:val="00CC344D"/>
    <w:rsid w:val="00CC7285"/>
    <w:rsid w:val="00CD0526"/>
    <w:rsid w:val="00CD5349"/>
    <w:rsid w:val="00CD5448"/>
    <w:rsid w:val="00CD7582"/>
    <w:rsid w:val="00CE1968"/>
    <w:rsid w:val="00CE20B7"/>
    <w:rsid w:val="00CF21F1"/>
    <w:rsid w:val="00CF61A1"/>
    <w:rsid w:val="00CF6BAD"/>
    <w:rsid w:val="00CF715E"/>
    <w:rsid w:val="00D04CD8"/>
    <w:rsid w:val="00D2022B"/>
    <w:rsid w:val="00D20F61"/>
    <w:rsid w:val="00D24E6D"/>
    <w:rsid w:val="00D279DA"/>
    <w:rsid w:val="00D42BDC"/>
    <w:rsid w:val="00D454AD"/>
    <w:rsid w:val="00D454C2"/>
    <w:rsid w:val="00D51691"/>
    <w:rsid w:val="00D54666"/>
    <w:rsid w:val="00D56971"/>
    <w:rsid w:val="00D56B1B"/>
    <w:rsid w:val="00D62025"/>
    <w:rsid w:val="00D64725"/>
    <w:rsid w:val="00D65794"/>
    <w:rsid w:val="00D65939"/>
    <w:rsid w:val="00D72302"/>
    <w:rsid w:val="00D752D2"/>
    <w:rsid w:val="00D85CA3"/>
    <w:rsid w:val="00D900CD"/>
    <w:rsid w:val="00D901CD"/>
    <w:rsid w:val="00DA0872"/>
    <w:rsid w:val="00DA79A9"/>
    <w:rsid w:val="00DB1D6F"/>
    <w:rsid w:val="00DB411D"/>
    <w:rsid w:val="00DC5A22"/>
    <w:rsid w:val="00DE01B1"/>
    <w:rsid w:val="00DE247F"/>
    <w:rsid w:val="00DE47C0"/>
    <w:rsid w:val="00DE7DEE"/>
    <w:rsid w:val="00DF2582"/>
    <w:rsid w:val="00DF2C7A"/>
    <w:rsid w:val="00DF42CA"/>
    <w:rsid w:val="00DF5086"/>
    <w:rsid w:val="00E021B5"/>
    <w:rsid w:val="00E046E1"/>
    <w:rsid w:val="00E04EE3"/>
    <w:rsid w:val="00E0687A"/>
    <w:rsid w:val="00E12D65"/>
    <w:rsid w:val="00E15D89"/>
    <w:rsid w:val="00E16B1A"/>
    <w:rsid w:val="00E23DE5"/>
    <w:rsid w:val="00E24DCB"/>
    <w:rsid w:val="00E26D49"/>
    <w:rsid w:val="00E306C5"/>
    <w:rsid w:val="00E36DFD"/>
    <w:rsid w:val="00E41B43"/>
    <w:rsid w:val="00E5270F"/>
    <w:rsid w:val="00E571C6"/>
    <w:rsid w:val="00E6308E"/>
    <w:rsid w:val="00E6325C"/>
    <w:rsid w:val="00E64BF1"/>
    <w:rsid w:val="00E73CBA"/>
    <w:rsid w:val="00E73DBF"/>
    <w:rsid w:val="00E7400A"/>
    <w:rsid w:val="00E75466"/>
    <w:rsid w:val="00E806BD"/>
    <w:rsid w:val="00E8303E"/>
    <w:rsid w:val="00E840DE"/>
    <w:rsid w:val="00E85167"/>
    <w:rsid w:val="00E864A8"/>
    <w:rsid w:val="00E87708"/>
    <w:rsid w:val="00E947C4"/>
    <w:rsid w:val="00E95099"/>
    <w:rsid w:val="00EA033C"/>
    <w:rsid w:val="00EA19DC"/>
    <w:rsid w:val="00EA1C96"/>
    <w:rsid w:val="00EA4852"/>
    <w:rsid w:val="00EA5F1A"/>
    <w:rsid w:val="00EB6EB5"/>
    <w:rsid w:val="00ED1C0A"/>
    <w:rsid w:val="00ED1D0D"/>
    <w:rsid w:val="00ED503D"/>
    <w:rsid w:val="00ED69C6"/>
    <w:rsid w:val="00EE7E10"/>
    <w:rsid w:val="00EF2BCA"/>
    <w:rsid w:val="00EF55D1"/>
    <w:rsid w:val="00F02728"/>
    <w:rsid w:val="00F063A4"/>
    <w:rsid w:val="00F1255F"/>
    <w:rsid w:val="00F23B93"/>
    <w:rsid w:val="00F27CDC"/>
    <w:rsid w:val="00F3776B"/>
    <w:rsid w:val="00F40FF3"/>
    <w:rsid w:val="00F4260E"/>
    <w:rsid w:val="00F476D8"/>
    <w:rsid w:val="00F51E82"/>
    <w:rsid w:val="00F51EBB"/>
    <w:rsid w:val="00F53244"/>
    <w:rsid w:val="00F533BE"/>
    <w:rsid w:val="00F635AA"/>
    <w:rsid w:val="00F67D9A"/>
    <w:rsid w:val="00F7342D"/>
    <w:rsid w:val="00F76F19"/>
    <w:rsid w:val="00F83457"/>
    <w:rsid w:val="00F90461"/>
    <w:rsid w:val="00F95EFD"/>
    <w:rsid w:val="00FA0693"/>
    <w:rsid w:val="00FA1FDC"/>
    <w:rsid w:val="00FA2004"/>
    <w:rsid w:val="00FA4CE8"/>
    <w:rsid w:val="00FA702A"/>
    <w:rsid w:val="00FA7C1C"/>
    <w:rsid w:val="00FC19AE"/>
    <w:rsid w:val="00FC2F6B"/>
    <w:rsid w:val="00FC335C"/>
    <w:rsid w:val="00FC5504"/>
    <w:rsid w:val="00FD2895"/>
    <w:rsid w:val="00FE041C"/>
    <w:rsid w:val="00FE5ACA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8">
    <w:name w:val="No Spacing"/>
    <w:link w:val="a9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67D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7D9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67D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7D9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693</cp:revision>
  <cp:lastPrinted>2019-10-29T06:04:00Z</cp:lastPrinted>
  <dcterms:created xsi:type="dcterms:W3CDTF">2013-10-28T03:13:00Z</dcterms:created>
  <dcterms:modified xsi:type="dcterms:W3CDTF">2019-10-29T06:04:00Z</dcterms:modified>
</cp:coreProperties>
</file>